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ascii="Times New Roman"/>
          <w:sz w:val="20"/>
        </w:rPr>
      </w:pPr>
      <w:r>
        <w:rPr>
          <w:sz w:val="22"/>
        </w:rPr>
        <w:drawing>
          <wp:anchor distT="0" distB="0" distL="114300" distR="114300" simplePos="0" relativeHeight="251662336" behindDoc="0" locked="0" layoutInCell="1" allowOverlap="1">
            <wp:simplePos x="0" y="0"/>
            <wp:positionH relativeFrom="column">
              <wp:posOffset>97155</wp:posOffset>
            </wp:positionH>
            <wp:positionV relativeFrom="paragraph">
              <wp:posOffset>-78105</wp:posOffset>
            </wp:positionV>
            <wp:extent cx="1461770" cy="1471930"/>
            <wp:effectExtent l="0" t="0" r="5080" b="13970"/>
            <wp:wrapNone/>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7"/>
                    <a:stretch>
                      <a:fillRect/>
                    </a:stretch>
                  </pic:blipFill>
                  <pic:spPr>
                    <a:xfrm>
                      <a:off x="4928235" y="2446020"/>
                      <a:ext cx="1461770" cy="1471930"/>
                    </a:xfrm>
                    <a:prstGeom prst="rect">
                      <a:avLst/>
                    </a:prstGeom>
                    <a:noFill/>
                    <a:ln>
                      <a:noFill/>
                    </a:ln>
                  </pic:spPr>
                </pic:pic>
              </a:graphicData>
            </a:graphic>
          </wp:anchor>
        </w:drawing>
      </w:r>
    </w:p>
    <w:p>
      <w:pPr>
        <w:pStyle w:val="2"/>
        <w:spacing w:before="218"/>
      </w:pPr>
      <w:r>
        <w:t>MGT 230:</w:t>
      </w:r>
    </w:p>
    <w:p>
      <w:pPr>
        <w:spacing w:before="0"/>
        <w:ind w:left="5534" w:right="0" w:firstLine="0"/>
        <w:jc w:val="left"/>
        <w:rPr>
          <w:b/>
          <w:sz w:val="36"/>
        </w:rPr>
      </w:pPr>
      <w:r>
        <w:rPr>
          <w:b/>
          <w:sz w:val="36"/>
        </w:rPr>
        <w:t>Financial Management</w:t>
      </w:r>
    </w:p>
    <w:p>
      <w:pPr>
        <w:spacing w:before="0"/>
        <w:ind w:left="5534" w:right="0" w:firstLine="0"/>
        <w:jc w:val="left"/>
        <w:rPr>
          <w:sz w:val="36"/>
        </w:rPr>
      </w:pPr>
      <w:r>
        <w:rPr>
          <w:rFonts w:hint="eastAsia"/>
          <w:sz w:val="36"/>
        </w:rPr>
        <w:t>Course Schedule</w:t>
      </w:r>
    </w:p>
    <w:p>
      <w:pPr>
        <w:pStyle w:val="5"/>
        <w:rPr>
          <w:sz w:val="20"/>
        </w:rPr>
      </w:pPr>
    </w:p>
    <w:p>
      <w:pPr>
        <w:pStyle w:val="5"/>
        <w:rPr>
          <w:sz w:val="20"/>
        </w:rPr>
      </w:pPr>
    </w:p>
    <w:p>
      <w:pPr>
        <w:pStyle w:val="5"/>
        <w:rPr>
          <w:sz w:val="20"/>
        </w:rPr>
      </w:pPr>
    </w:p>
    <w:p>
      <w:pPr>
        <w:pStyle w:val="5"/>
        <w:rPr>
          <w:sz w:val="20"/>
        </w:rPr>
      </w:pPr>
    </w:p>
    <w:p>
      <w:pPr>
        <w:pStyle w:val="5"/>
        <w:spacing w:before="7"/>
        <w:rPr>
          <w:sz w:val="29"/>
        </w:rPr>
      </w:pPr>
    </w:p>
    <w:p>
      <w:pPr>
        <w:spacing w:before="93"/>
        <w:ind w:left="121" w:right="0" w:firstLine="0"/>
        <w:jc w:val="left"/>
        <w:rPr>
          <w:sz w:val="22"/>
        </w:rPr>
      </w:pPr>
      <w:r>
        <w:rPr>
          <w:b/>
          <w:sz w:val="22"/>
        </w:rPr>
        <w:t>Instructor</w:t>
      </w:r>
      <w:r>
        <w:rPr>
          <w:sz w:val="22"/>
        </w:rPr>
        <w:t>: Bari Courts</w:t>
      </w:r>
    </w:p>
    <w:p>
      <w:pPr>
        <w:spacing w:before="1" w:line="252" w:lineRule="exact"/>
        <w:ind w:left="121" w:right="0" w:firstLine="0"/>
        <w:jc w:val="left"/>
        <w:rPr>
          <w:sz w:val="22"/>
        </w:rPr>
      </w:pPr>
      <w:r>
        <w:rPr>
          <w:b/>
          <w:sz w:val="22"/>
        </w:rPr>
        <w:t xml:space="preserve">Title: </w:t>
      </w:r>
      <w:r>
        <w:rPr>
          <w:sz w:val="22"/>
        </w:rPr>
        <w:t>Adjunct Professor</w:t>
      </w:r>
    </w:p>
    <w:p>
      <w:pPr>
        <w:spacing w:before="0" w:line="252" w:lineRule="exact"/>
        <w:ind w:left="121" w:right="0" w:firstLine="0"/>
        <w:jc w:val="left"/>
        <w:rPr>
          <w:sz w:val="22"/>
        </w:rPr>
      </w:pPr>
      <w:r>
        <w:rPr>
          <w:b/>
          <w:sz w:val="22"/>
        </w:rPr>
        <w:t xml:space="preserve">Office: </w:t>
      </w:r>
      <w:r>
        <w:rPr>
          <w:sz w:val="22"/>
        </w:rPr>
        <w:t>Building, Room # TBD</w:t>
      </w:r>
    </w:p>
    <w:p>
      <w:pPr>
        <w:pStyle w:val="5"/>
        <w:spacing w:before="1" w:line="252" w:lineRule="exact"/>
        <w:ind w:left="121"/>
      </w:pPr>
      <w:r>
        <w:rPr>
          <w:b/>
        </w:rPr>
        <w:t>E-Mail</w:t>
      </w:r>
      <w:r>
        <w:t xml:space="preserve">: </w:t>
      </w:r>
      <w:r>
        <w:fldChar w:fldCharType="begin"/>
      </w:r>
      <w:r>
        <w:instrText xml:space="preserve"> HYPERLINK "mailto:blcourts@yahoo.com" \h </w:instrText>
      </w:r>
      <w:r>
        <w:fldChar w:fldCharType="separate"/>
      </w:r>
      <w:r>
        <w:rPr>
          <w:color w:val="0000FF"/>
          <w:u w:val="single" w:color="0000FF"/>
        </w:rPr>
        <w:t>blcourts@yahoo.com</w:t>
      </w:r>
      <w:r>
        <w:rPr>
          <w:color w:val="0000FF"/>
          <w:u w:val="single" w:color="0000FF"/>
        </w:rPr>
        <w:fldChar w:fldCharType="end"/>
      </w:r>
      <w:r>
        <w:t xml:space="preserve">; </w:t>
      </w:r>
      <w:r>
        <w:fldChar w:fldCharType="begin"/>
      </w:r>
      <w:r>
        <w:instrText xml:space="preserve"> HYPERLINK "mailto:bari.courts@vaughn.edu" \h </w:instrText>
      </w:r>
      <w:r>
        <w:fldChar w:fldCharType="separate"/>
      </w:r>
      <w:r>
        <w:rPr>
          <w:color w:val="0000FF"/>
          <w:u w:val="single" w:color="0000FF"/>
        </w:rPr>
        <w:t>bari.courts@vaughn.edu</w:t>
      </w:r>
      <w:r>
        <w:rPr>
          <w:color w:val="0000FF"/>
          <w:u w:val="single" w:color="0000FF"/>
        </w:rPr>
        <w:fldChar w:fldCharType="end"/>
      </w:r>
    </w:p>
    <w:p>
      <w:pPr>
        <w:spacing w:before="0" w:line="252" w:lineRule="exact"/>
        <w:ind w:left="121" w:right="0" w:firstLine="0"/>
        <w:jc w:val="left"/>
        <w:rPr>
          <w:sz w:val="22"/>
        </w:rPr>
      </w:pPr>
      <w:r>
        <w:rPr>
          <w:b/>
          <w:sz w:val="22"/>
        </w:rPr>
        <w:t xml:space="preserve">Office Hours: </w:t>
      </w:r>
      <w:r>
        <w:rPr>
          <w:sz w:val="22"/>
        </w:rPr>
        <w:t>Before or after class, or by appointment</w:t>
      </w:r>
    </w:p>
    <w:p>
      <w:pPr>
        <w:pStyle w:val="5"/>
        <w:rPr>
          <w:sz w:val="24"/>
        </w:rPr>
      </w:pPr>
    </w:p>
    <w:p>
      <w:pPr>
        <w:pStyle w:val="3"/>
        <w:spacing w:before="169"/>
        <w:rPr>
          <w:u w:val="none"/>
        </w:rPr>
      </w:pPr>
      <w:r>
        <w:rPr>
          <w:u w:val="single"/>
        </w:rPr>
        <w:t>Course Description</w:t>
      </w:r>
    </w:p>
    <w:p>
      <w:pPr>
        <w:pStyle w:val="5"/>
        <w:spacing w:before="3"/>
        <w:rPr>
          <w:b/>
          <w:sz w:val="25"/>
        </w:rPr>
      </w:pPr>
    </w:p>
    <w:p>
      <w:pPr>
        <w:spacing w:before="52" w:line="276" w:lineRule="auto"/>
        <w:ind w:left="121" w:right="0" w:firstLine="0"/>
        <w:jc w:val="left"/>
        <w:rPr>
          <w:rFonts w:ascii="Calibri"/>
          <w:sz w:val="24"/>
        </w:rPr>
      </w:pPr>
      <w:r>
        <w:rPr>
          <w:rFonts w:ascii="Calibri"/>
          <w:sz w:val="24"/>
        </w:rPr>
        <w:t>This course examines corporate utilization and allocation of monetary resources. Capital budgeting, the time value of money, security valuation, debt-equity structure, international finance weighted average cost of capital, and other financial issues are examined with a view toward providing the student with decision-making tools for risk and investment analysis.</w:t>
      </w:r>
    </w:p>
    <w:p>
      <w:pPr>
        <w:pStyle w:val="5"/>
        <w:spacing w:before="8"/>
        <w:rPr>
          <w:rFonts w:ascii="Calibri"/>
          <w:sz w:val="19"/>
        </w:rPr>
      </w:pPr>
    </w:p>
    <w:p>
      <w:pPr>
        <w:spacing w:before="189"/>
        <w:ind w:left="121" w:right="0" w:firstLine="0"/>
        <w:jc w:val="left"/>
        <w:rPr>
          <w:b/>
          <w:sz w:val="28"/>
        </w:rPr>
      </w:pPr>
      <w:r>
        <w:rPr>
          <w:b/>
          <w:sz w:val="28"/>
          <w:u w:val="single"/>
        </w:rPr>
        <w:t>Grading Policy</w:t>
      </w:r>
    </w:p>
    <w:p>
      <w:pPr>
        <w:pStyle w:val="5"/>
        <w:rPr>
          <w:b/>
          <w:sz w:val="20"/>
        </w:rPr>
      </w:pPr>
    </w:p>
    <w:p>
      <w:pPr>
        <w:pStyle w:val="5"/>
        <w:spacing w:before="6"/>
        <w:rPr>
          <w:b/>
          <w:sz w:val="17"/>
        </w:rPr>
      </w:pPr>
    </w:p>
    <w:p>
      <w:pPr>
        <w:pStyle w:val="4"/>
        <w:ind w:left="556"/>
      </w:pPr>
      <w:r>
        <w:t>Grade computation</w:t>
      </w:r>
    </w:p>
    <w:p>
      <w:pPr>
        <w:pStyle w:val="5"/>
        <w:spacing w:before="3"/>
        <w:rPr>
          <w:b/>
          <w:sz w:val="21"/>
        </w:rPr>
      </w:pPr>
    </w:p>
    <w:tbl>
      <w:tblPr>
        <w:tblStyle w:val="6"/>
        <w:tblW w:w="0" w:type="auto"/>
        <w:tblInd w:w="269"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5182"/>
        <w:gridCol w:w="3918"/>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79" w:hRule="atLeast"/>
        </w:trPr>
        <w:tc>
          <w:tcPr>
            <w:tcW w:w="5182" w:type="dxa"/>
            <w:shd w:val="clear" w:color="auto" w:fill="999999"/>
          </w:tcPr>
          <w:p>
            <w:pPr>
              <w:pStyle w:val="10"/>
              <w:spacing w:before="66"/>
              <w:ind w:left="1695" w:right="1683"/>
              <w:rPr>
                <w:rFonts w:ascii="Times New Roman"/>
                <w:b/>
                <w:sz w:val="24"/>
              </w:rPr>
            </w:pPr>
            <w:r>
              <w:rPr>
                <w:rFonts w:ascii="Times New Roman"/>
                <w:b/>
                <w:color w:val="FFFFFF"/>
                <w:sz w:val="24"/>
              </w:rPr>
              <w:t>ASSIGNMENTS</w:t>
            </w:r>
          </w:p>
        </w:tc>
        <w:tc>
          <w:tcPr>
            <w:tcW w:w="3918" w:type="dxa"/>
            <w:shd w:val="clear" w:color="auto" w:fill="999999"/>
          </w:tcPr>
          <w:p>
            <w:pPr>
              <w:pStyle w:val="10"/>
              <w:spacing w:before="66"/>
              <w:ind w:right="1618"/>
              <w:jc w:val="right"/>
              <w:rPr>
                <w:rFonts w:ascii="Times New Roman"/>
                <w:b/>
                <w:sz w:val="24"/>
              </w:rPr>
            </w:pPr>
            <w:r>
              <w:rPr>
                <w:rFonts w:ascii="Times New Roman"/>
                <w:b/>
                <w:color w:val="FFFFFF"/>
                <w:sz w:val="24"/>
              </w:rPr>
              <w:t>Points</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80" w:hRule="atLeast"/>
        </w:trPr>
        <w:tc>
          <w:tcPr>
            <w:tcW w:w="5182" w:type="dxa"/>
            <w:shd w:val="clear" w:color="auto" w:fill="999999"/>
          </w:tcPr>
          <w:p>
            <w:pPr>
              <w:pStyle w:val="10"/>
              <w:jc w:val="left"/>
              <w:rPr>
                <w:rFonts w:ascii="Times New Roman"/>
                <w:sz w:val="22"/>
              </w:rPr>
            </w:pPr>
          </w:p>
        </w:tc>
        <w:tc>
          <w:tcPr>
            <w:tcW w:w="3918" w:type="dxa"/>
            <w:shd w:val="clear" w:color="auto" w:fill="999999"/>
          </w:tcPr>
          <w:p>
            <w:pPr>
              <w:pStyle w:val="10"/>
              <w:jc w:val="left"/>
              <w:rPr>
                <w:rFonts w:ascii="Times New Roman"/>
                <w:sz w:val="22"/>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81" w:hRule="atLeast"/>
        </w:trPr>
        <w:tc>
          <w:tcPr>
            <w:tcW w:w="5182" w:type="dxa"/>
          </w:tcPr>
          <w:p>
            <w:pPr>
              <w:pStyle w:val="10"/>
              <w:spacing w:before="62"/>
              <w:ind w:left="1693" w:right="1683"/>
              <w:rPr>
                <w:rFonts w:ascii="Times New Roman"/>
                <w:sz w:val="24"/>
              </w:rPr>
            </w:pPr>
            <w:r>
              <w:rPr>
                <w:rFonts w:ascii="Times New Roman"/>
                <w:sz w:val="24"/>
              </w:rPr>
              <w:t>Article Reviews</w:t>
            </w:r>
          </w:p>
        </w:tc>
        <w:tc>
          <w:tcPr>
            <w:tcW w:w="3918" w:type="dxa"/>
          </w:tcPr>
          <w:p>
            <w:pPr>
              <w:pStyle w:val="10"/>
              <w:spacing w:before="62"/>
              <w:ind w:left="1724" w:right="1698"/>
              <w:rPr>
                <w:rFonts w:ascii="Times New Roman"/>
                <w:sz w:val="24"/>
              </w:rPr>
            </w:pPr>
            <w:r>
              <w:rPr>
                <w:rFonts w:ascii="Times New Roman"/>
                <w:sz w:val="24"/>
              </w:rPr>
              <w:t>30%</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80" w:hRule="atLeast"/>
        </w:trPr>
        <w:tc>
          <w:tcPr>
            <w:tcW w:w="5182" w:type="dxa"/>
          </w:tcPr>
          <w:p>
            <w:pPr>
              <w:pStyle w:val="10"/>
              <w:spacing w:before="62"/>
              <w:ind w:left="1695" w:right="1676"/>
              <w:rPr>
                <w:rFonts w:ascii="Times New Roman"/>
                <w:sz w:val="24"/>
              </w:rPr>
            </w:pPr>
            <w:r>
              <w:rPr>
                <w:rFonts w:ascii="Times New Roman"/>
                <w:sz w:val="24"/>
              </w:rPr>
              <w:t>Quizzes (2)</w:t>
            </w:r>
          </w:p>
        </w:tc>
        <w:tc>
          <w:tcPr>
            <w:tcW w:w="3918" w:type="dxa"/>
          </w:tcPr>
          <w:p>
            <w:pPr>
              <w:pStyle w:val="10"/>
              <w:spacing w:before="62"/>
              <w:ind w:left="1724" w:right="1698"/>
              <w:rPr>
                <w:rFonts w:ascii="Times New Roman"/>
                <w:sz w:val="24"/>
              </w:rPr>
            </w:pPr>
            <w:r>
              <w:rPr>
                <w:rFonts w:ascii="Times New Roman"/>
                <w:sz w:val="24"/>
              </w:rPr>
              <w:t>25%</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81" w:hRule="atLeast"/>
        </w:trPr>
        <w:tc>
          <w:tcPr>
            <w:tcW w:w="5182" w:type="dxa"/>
          </w:tcPr>
          <w:p>
            <w:pPr>
              <w:pStyle w:val="10"/>
              <w:spacing w:before="62"/>
              <w:ind w:left="1695" w:right="1678"/>
              <w:rPr>
                <w:rFonts w:ascii="Times New Roman"/>
                <w:sz w:val="24"/>
              </w:rPr>
            </w:pPr>
            <w:r>
              <w:rPr>
                <w:rFonts w:ascii="Times New Roman"/>
                <w:sz w:val="24"/>
              </w:rPr>
              <w:t>Attendance</w:t>
            </w:r>
          </w:p>
        </w:tc>
        <w:tc>
          <w:tcPr>
            <w:tcW w:w="3918" w:type="dxa"/>
          </w:tcPr>
          <w:p>
            <w:pPr>
              <w:pStyle w:val="10"/>
              <w:spacing w:before="62"/>
              <w:ind w:left="1724" w:right="1698"/>
              <w:rPr>
                <w:rFonts w:ascii="Times New Roman"/>
                <w:sz w:val="24"/>
              </w:rPr>
            </w:pPr>
            <w:r>
              <w:rPr>
                <w:rFonts w:ascii="Times New Roman"/>
                <w:sz w:val="24"/>
              </w:rPr>
              <w:t>10%</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80" w:hRule="atLeast"/>
        </w:trPr>
        <w:tc>
          <w:tcPr>
            <w:tcW w:w="5182" w:type="dxa"/>
          </w:tcPr>
          <w:p>
            <w:pPr>
              <w:pStyle w:val="10"/>
              <w:spacing w:before="62"/>
              <w:ind w:left="1695" w:right="1676"/>
              <w:rPr>
                <w:rFonts w:ascii="Times New Roman"/>
                <w:sz w:val="24"/>
              </w:rPr>
            </w:pPr>
            <w:r>
              <w:rPr>
                <w:rFonts w:ascii="Times New Roman"/>
                <w:sz w:val="24"/>
              </w:rPr>
              <w:t>Final Exam</w:t>
            </w:r>
          </w:p>
        </w:tc>
        <w:tc>
          <w:tcPr>
            <w:tcW w:w="3918" w:type="dxa"/>
          </w:tcPr>
          <w:p>
            <w:pPr>
              <w:pStyle w:val="10"/>
              <w:spacing w:before="62"/>
              <w:ind w:left="1724" w:right="1698"/>
              <w:rPr>
                <w:rFonts w:ascii="Times New Roman"/>
                <w:sz w:val="24"/>
              </w:rPr>
            </w:pPr>
            <w:r>
              <w:rPr>
                <w:rFonts w:ascii="Times New Roman"/>
                <w:sz w:val="24"/>
              </w:rPr>
              <w:t>35%</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81" w:hRule="atLeast"/>
        </w:trPr>
        <w:tc>
          <w:tcPr>
            <w:tcW w:w="5182" w:type="dxa"/>
          </w:tcPr>
          <w:p>
            <w:pPr>
              <w:pStyle w:val="10"/>
              <w:spacing w:before="62"/>
              <w:ind w:left="1695" w:right="1679"/>
              <w:rPr>
                <w:rFonts w:ascii="Times New Roman"/>
                <w:b/>
                <w:sz w:val="24"/>
              </w:rPr>
            </w:pPr>
            <w:r>
              <w:rPr>
                <w:rFonts w:ascii="Times New Roman"/>
                <w:b/>
                <w:sz w:val="24"/>
              </w:rPr>
              <w:t>Total</w:t>
            </w:r>
          </w:p>
        </w:tc>
        <w:tc>
          <w:tcPr>
            <w:tcW w:w="3918" w:type="dxa"/>
          </w:tcPr>
          <w:p>
            <w:pPr>
              <w:pStyle w:val="10"/>
              <w:spacing w:before="62"/>
              <w:ind w:right="1656"/>
              <w:jc w:val="right"/>
              <w:rPr>
                <w:rFonts w:ascii="Times New Roman"/>
                <w:sz w:val="24"/>
              </w:rPr>
            </w:pPr>
            <w:r>
              <w:rPr>
                <w:rFonts w:ascii="Times New Roman"/>
                <w:sz w:val="24"/>
              </w:rPr>
              <w:t>100%</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81" w:hRule="atLeast"/>
        </w:trPr>
        <w:tc>
          <w:tcPr>
            <w:tcW w:w="5182" w:type="dxa"/>
            <w:shd w:val="clear" w:color="auto" w:fill="999999"/>
          </w:tcPr>
          <w:p>
            <w:pPr>
              <w:pStyle w:val="10"/>
              <w:jc w:val="left"/>
              <w:rPr>
                <w:rFonts w:ascii="Times New Roman"/>
                <w:sz w:val="22"/>
              </w:rPr>
            </w:pPr>
          </w:p>
        </w:tc>
        <w:tc>
          <w:tcPr>
            <w:tcW w:w="3918" w:type="dxa"/>
            <w:shd w:val="clear" w:color="auto" w:fill="999999"/>
          </w:tcPr>
          <w:p>
            <w:pPr>
              <w:pStyle w:val="10"/>
              <w:jc w:val="left"/>
              <w:rPr>
                <w:rFonts w:ascii="Times New Roman"/>
                <w:sz w:val="22"/>
              </w:rPr>
            </w:pPr>
          </w:p>
        </w:tc>
      </w:tr>
    </w:tbl>
    <w:p>
      <w:pPr>
        <w:pStyle w:val="5"/>
        <w:rPr>
          <w:b/>
          <w:sz w:val="24"/>
        </w:rPr>
      </w:pPr>
    </w:p>
    <w:p>
      <w:pPr>
        <w:pStyle w:val="5"/>
        <w:rPr>
          <w:b/>
          <w:sz w:val="24"/>
        </w:rPr>
      </w:pPr>
    </w:p>
    <w:p>
      <w:pPr>
        <w:pStyle w:val="5"/>
        <w:rPr>
          <w:b/>
          <w:sz w:val="24"/>
        </w:rPr>
      </w:pPr>
    </w:p>
    <w:p>
      <w:pPr>
        <w:pStyle w:val="5"/>
        <w:rPr>
          <w:b/>
          <w:sz w:val="24"/>
        </w:rPr>
      </w:pPr>
    </w:p>
    <w:p>
      <w:pPr>
        <w:pStyle w:val="5"/>
        <w:rPr>
          <w:b/>
          <w:sz w:val="24"/>
        </w:rPr>
      </w:pPr>
    </w:p>
    <w:p>
      <w:pPr>
        <w:spacing w:before="209"/>
        <w:ind w:left="618" w:right="0" w:firstLine="0"/>
        <w:jc w:val="left"/>
        <w:rPr>
          <w:b/>
          <w:sz w:val="22"/>
        </w:rPr>
      </w:pPr>
      <w:r>
        <w:rPr>
          <w:b/>
          <w:sz w:val="22"/>
        </w:rPr>
        <w:t>Grading Scale</w:t>
      </w:r>
    </w:p>
    <w:p>
      <w:pPr>
        <w:pStyle w:val="5"/>
        <w:spacing w:before="9"/>
        <w:rPr>
          <w:b/>
          <w:sz w:val="20"/>
        </w:rPr>
      </w:pPr>
    </w:p>
    <w:tbl>
      <w:tblPr>
        <w:tblStyle w:val="6"/>
        <w:tblW w:w="0" w:type="auto"/>
        <w:tblInd w:w="6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60"/>
        <w:gridCol w:w="1862"/>
        <w:gridCol w:w="18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 w:hRule="atLeast"/>
        </w:trPr>
        <w:tc>
          <w:tcPr>
            <w:tcW w:w="1860" w:type="dxa"/>
            <w:shd w:val="clear" w:color="auto" w:fill="BDBDBD"/>
          </w:tcPr>
          <w:p>
            <w:pPr>
              <w:pStyle w:val="10"/>
              <w:spacing w:line="245" w:lineRule="exact"/>
              <w:ind w:left="277" w:right="271"/>
              <w:rPr>
                <w:rFonts w:ascii="Arial"/>
                <w:b/>
                <w:sz w:val="22"/>
              </w:rPr>
            </w:pPr>
            <w:r>
              <w:rPr>
                <w:rFonts w:ascii="Arial"/>
                <w:b/>
                <w:sz w:val="22"/>
              </w:rPr>
              <w:t>Grade</w:t>
            </w:r>
          </w:p>
        </w:tc>
        <w:tc>
          <w:tcPr>
            <w:tcW w:w="1862" w:type="dxa"/>
            <w:shd w:val="clear" w:color="auto" w:fill="BDBDBD"/>
          </w:tcPr>
          <w:p>
            <w:pPr>
              <w:pStyle w:val="10"/>
              <w:spacing w:line="245" w:lineRule="exact"/>
              <w:ind w:left="144" w:right="138"/>
              <w:rPr>
                <w:rFonts w:ascii="Arial"/>
                <w:b/>
                <w:sz w:val="22"/>
              </w:rPr>
            </w:pPr>
            <w:r>
              <w:rPr>
                <w:rFonts w:ascii="Arial"/>
                <w:b/>
                <w:sz w:val="22"/>
              </w:rPr>
              <w:t>Numeric Value</w:t>
            </w:r>
          </w:p>
        </w:tc>
        <w:tc>
          <w:tcPr>
            <w:tcW w:w="1860" w:type="dxa"/>
            <w:shd w:val="clear" w:color="auto" w:fill="BDBDBD"/>
          </w:tcPr>
          <w:p>
            <w:pPr>
              <w:pStyle w:val="10"/>
              <w:spacing w:line="245" w:lineRule="exact"/>
              <w:ind w:left="277" w:right="271"/>
              <w:rPr>
                <w:rFonts w:ascii="Arial"/>
                <w:b/>
                <w:sz w:val="22"/>
              </w:rPr>
            </w:pPr>
            <w:r>
              <w:rPr>
                <w:rFonts w:ascii="Arial"/>
                <w:b/>
                <w:sz w:val="22"/>
              </w:rPr>
              <w:t>Standard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3" w:hRule="atLeast"/>
        </w:trPr>
        <w:tc>
          <w:tcPr>
            <w:tcW w:w="1860" w:type="dxa"/>
          </w:tcPr>
          <w:p>
            <w:pPr>
              <w:pStyle w:val="10"/>
              <w:spacing w:line="234" w:lineRule="exact"/>
              <w:ind w:right="117"/>
              <w:rPr>
                <w:rFonts w:ascii="Arial"/>
                <w:sz w:val="22"/>
              </w:rPr>
            </w:pPr>
            <w:r>
              <w:rPr>
                <w:rFonts w:ascii="Arial"/>
                <w:sz w:val="22"/>
              </w:rPr>
              <w:t>A</w:t>
            </w:r>
          </w:p>
        </w:tc>
        <w:tc>
          <w:tcPr>
            <w:tcW w:w="1862" w:type="dxa"/>
          </w:tcPr>
          <w:p>
            <w:pPr>
              <w:pStyle w:val="10"/>
              <w:spacing w:line="234" w:lineRule="exact"/>
              <w:ind w:left="144" w:right="136"/>
              <w:rPr>
                <w:rFonts w:ascii="Arial"/>
                <w:sz w:val="22"/>
              </w:rPr>
            </w:pPr>
            <w:r>
              <w:rPr>
                <w:rFonts w:ascii="Arial"/>
                <w:sz w:val="22"/>
              </w:rPr>
              <w:t>90-100</w:t>
            </w:r>
          </w:p>
        </w:tc>
        <w:tc>
          <w:tcPr>
            <w:tcW w:w="1860" w:type="dxa"/>
          </w:tcPr>
          <w:p>
            <w:pPr>
              <w:pStyle w:val="10"/>
              <w:spacing w:line="234" w:lineRule="exact"/>
              <w:ind w:left="274" w:right="271"/>
              <w:rPr>
                <w:rFonts w:ascii="Arial"/>
                <w:sz w:val="22"/>
              </w:rPr>
            </w:pPr>
            <w:r>
              <w:rPr>
                <w:rFonts w:ascii="Arial"/>
                <w:sz w:val="22"/>
              </w:rPr>
              <w:t>Excellent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 w:hRule="atLeast"/>
        </w:trPr>
        <w:tc>
          <w:tcPr>
            <w:tcW w:w="1860" w:type="dxa"/>
          </w:tcPr>
          <w:p>
            <w:pPr>
              <w:pStyle w:val="10"/>
              <w:spacing w:line="246" w:lineRule="exact"/>
              <w:ind w:left="279" w:right="271"/>
              <w:rPr>
                <w:rFonts w:ascii="Arial"/>
                <w:sz w:val="22"/>
              </w:rPr>
            </w:pPr>
            <w:r>
              <w:rPr>
                <w:rFonts w:ascii="Arial"/>
                <w:sz w:val="22"/>
              </w:rPr>
              <w:t>B+</w:t>
            </w:r>
          </w:p>
        </w:tc>
        <w:tc>
          <w:tcPr>
            <w:tcW w:w="1862" w:type="dxa"/>
          </w:tcPr>
          <w:p>
            <w:pPr>
              <w:pStyle w:val="10"/>
              <w:spacing w:line="246" w:lineRule="exact"/>
              <w:ind w:left="144" w:right="116"/>
              <w:rPr>
                <w:rFonts w:ascii="Arial"/>
                <w:sz w:val="22"/>
              </w:rPr>
            </w:pPr>
            <w:r>
              <w:rPr>
                <w:rFonts w:ascii="Arial"/>
                <w:sz w:val="22"/>
              </w:rPr>
              <w:t>85-89</w:t>
            </w:r>
          </w:p>
        </w:tc>
        <w:tc>
          <w:tcPr>
            <w:tcW w:w="1860" w:type="dxa"/>
          </w:tcPr>
          <w:p>
            <w:pPr>
              <w:pStyle w:val="1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 w:hRule="atLeast"/>
        </w:trPr>
        <w:tc>
          <w:tcPr>
            <w:tcW w:w="1860" w:type="dxa"/>
          </w:tcPr>
          <w:p>
            <w:pPr>
              <w:pStyle w:val="10"/>
              <w:spacing w:line="248" w:lineRule="exact"/>
              <w:ind w:right="117"/>
              <w:rPr>
                <w:rFonts w:ascii="Arial"/>
                <w:sz w:val="22"/>
              </w:rPr>
            </w:pPr>
            <w:r>
              <w:rPr>
                <w:rFonts w:ascii="Arial"/>
                <w:sz w:val="22"/>
              </w:rPr>
              <w:t>B</w:t>
            </w:r>
          </w:p>
        </w:tc>
        <w:tc>
          <w:tcPr>
            <w:tcW w:w="1862" w:type="dxa"/>
          </w:tcPr>
          <w:p>
            <w:pPr>
              <w:pStyle w:val="10"/>
              <w:spacing w:line="248" w:lineRule="exact"/>
              <w:ind w:left="144" w:right="116"/>
              <w:rPr>
                <w:rFonts w:ascii="Arial"/>
                <w:sz w:val="22"/>
              </w:rPr>
            </w:pPr>
            <w:r>
              <w:rPr>
                <w:rFonts w:ascii="Arial"/>
                <w:sz w:val="22"/>
              </w:rPr>
              <w:t>80-84</w:t>
            </w:r>
          </w:p>
        </w:tc>
        <w:tc>
          <w:tcPr>
            <w:tcW w:w="1860" w:type="dxa"/>
          </w:tcPr>
          <w:p>
            <w:pPr>
              <w:pStyle w:val="10"/>
              <w:spacing w:line="248" w:lineRule="exact"/>
              <w:ind w:left="279" w:right="251"/>
              <w:rPr>
                <w:rFonts w:ascii="Arial"/>
                <w:sz w:val="22"/>
              </w:rPr>
            </w:pPr>
            <w:r>
              <w:rPr>
                <w:rFonts w:ascii="Arial"/>
                <w:sz w:val="22"/>
              </w:rPr>
              <w:t>Good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 w:hRule="atLeast"/>
        </w:trPr>
        <w:tc>
          <w:tcPr>
            <w:tcW w:w="1860" w:type="dxa"/>
          </w:tcPr>
          <w:p>
            <w:pPr>
              <w:pStyle w:val="10"/>
              <w:spacing w:line="246" w:lineRule="exact"/>
              <w:ind w:left="279" w:right="259"/>
              <w:rPr>
                <w:rFonts w:ascii="Arial"/>
                <w:sz w:val="22"/>
              </w:rPr>
            </w:pPr>
            <w:r>
              <w:rPr>
                <w:rFonts w:ascii="Arial"/>
                <w:sz w:val="22"/>
              </w:rPr>
              <w:t>C+</w:t>
            </w:r>
          </w:p>
        </w:tc>
        <w:tc>
          <w:tcPr>
            <w:tcW w:w="1862" w:type="dxa"/>
          </w:tcPr>
          <w:p>
            <w:pPr>
              <w:pStyle w:val="10"/>
              <w:spacing w:line="246" w:lineRule="exact"/>
              <w:ind w:left="144" w:right="116"/>
              <w:rPr>
                <w:rFonts w:ascii="Arial"/>
                <w:sz w:val="22"/>
              </w:rPr>
            </w:pPr>
            <w:r>
              <w:rPr>
                <w:rFonts w:ascii="Arial"/>
                <w:sz w:val="22"/>
              </w:rPr>
              <w:t>75-79</w:t>
            </w:r>
          </w:p>
        </w:tc>
        <w:tc>
          <w:tcPr>
            <w:tcW w:w="1860" w:type="dxa"/>
          </w:tcPr>
          <w:p>
            <w:pPr>
              <w:pStyle w:val="1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 w:hRule="atLeast"/>
        </w:trPr>
        <w:tc>
          <w:tcPr>
            <w:tcW w:w="1860" w:type="dxa"/>
          </w:tcPr>
          <w:p>
            <w:pPr>
              <w:pStyle w:val="10"/>
              <w:spacing w:line="247" w:lineRule="exact"/>
              <w:ind w:right="105"/>
              <w:rPr>
                <w:rFonts w:ascii="Arial"/>
                <w:sz w:val="22"/>
              </w:rPr>
            </w:pPr>
            <w:r>
              <w:rPr>
                <w:rFonts w:ascii="Arial"/>
                <w:sz w:val="22"/>
              </w:rPr>
              <w:t>C</w:t>
            </w:r>
          </w:p>
        </w:tc>
        <w:tc>
          <w:tcPr>
            <w:tcW w:w="1862" w:type="dxa"/>
          </w:tcPr>
          <w:p>
            <w:pPr>
              <w:pStyle w:val="10"/>
              <w:spacing w:line="247" w:lineRule="exact"/>
              <w:ind w:left="144" w:right="116"/>
              <w:rPr>
                <w:rFonts w:ascii="Arial"/>
                <w:sz w:val="22"/>
              </w:rPr>
            </w:pPr>
            <w:r>
              <w:rPr>
                <w:rFonts w:ascii="Arial"/>
                <w:sz w:val="22"/>
              </w:rPr>
              <w:t>70-74</w:t>
            </w:r>
          </w:p>
        </w:tc>
        <w:tc>
          <w:tcPr>
            <w:tcW w:w="1860" w:type="dxa"/>
          </w:tcPr>
          <w:p>
            <w:pPr>
              <w:pStyle w:val="10"/>
              <w:spacing w:line="247" w:lineRule="exact"/>
              <w:ind w:left="279" w:right="269"/>
              <w:rPr>
                <w:rFonts w:ascii="Arial"/>
                <w:sz w:val="22"/>
              </w:rPr>
            </w:pPr>
            <w:r>
              <w:rPr>
                <w:rFonts w:ascii="Arial"/>
                <w:sz w:val="22"/>
              </w:rPr>
              <w:t>Average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 w:hRule="atLeast"/>
        </w:trPr>
        <w:tc>
          <w:tcPr>
            <w:tcW w:w="1860" w:type="dxa"/>
          </w:tcPr>
          <w:p>
            <w:pPr>
              <w:pStyle w:val="10"/>
              <w:spacing w:line="246" w:lineRule="exact"/>
              <w:ind w:left="279" w:right="214"/>
              <w:rPr>
                <w:rFonts w:ascii="Arial"/>
                <w:sz w:val="22"/>
              </w:rPr>
            </w:pPr>
            <w:r>
              <w:rPr>
                <w:rFonts w:ascii="Arial"/>
                <w:sz w:val="22"/>
              </w:rPr>
              <w:t>D**</w:t>
            </w:r>
          </w:p>
        </w:tc>
        <w:tc>
          <w:tcPr>
            <w:tcW w:w="1862" w:type="dxa"/>
          </w:tcPr>
          <w:p>
            <w:pPr>
              <w:pStyle w:val="10"/>
              <w:spacing w:line="246" w:lineRule="exact"/>
              <w:ind w:left="144" w:right="116"/>
              <w:rPr>
                <w:rFonts w:ascii="Arial"/>
                <w:sz w:val="22"/>
              </w:rPr>
            </w:pPr>
            <w:r>
              <w:rPr>
                <w:rFonts w:ascii="Arial"/>
                <w:sz w:val="22"/>
              </w:rPr>
              <w:t>60-69</w:t>
            </w:r>
          </w:p>
        </w:tc>
        <w:tc>
          <w:tcPr>
            <w:tcW w:w="1860" w:type="dxa"/>
          </w:tcPr>
          <w:p>
            <w:pPr>
              <w:pStyle w:val="10"/>
              <w:spacing w:line="246" w:lineRule="exact"/>
              <w:ind w:left="279" w:right="271"/>
              <w:rPr>
                <w:rFonts w:ascii="Arial"/>
                <w:sz w:val="22"/>
              </w:rPr>
            </w:pPr>
            <w:r>
              <w:rPr>
                <w:rFonts w:ascii="Arial"/>
                <w:sz w:val="22"/>
              </w:rPr>
              <w:t>Min. Passing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7" w:hRule="atLeast"/>
        </w:trPr>
        <w:tc>
          <w:tcPr>
            <w:tcW w:w="1860" w:type="dxa"/>
          </w:tcPr>
          <w:p>
            <w:pPr>
              <w:pStyle w:val="10"/>
              <w:spacing w:line="247" w:lineRule="exact"/>
              <w:ind w:right="129"/>
              <w:rPr>
                <w:rFonts w:ascii="Arial"/>
                <w:sz w:val="22"/>
              </w:rPr>
            </w:pPr>
            <w:r>
              <w:rPr>
                <w:rFonts w:ascii="Arial"/>
                <w:sz w:val="22"/>
              </w:rPr>
              <w:t>F</w:t>
            </w:r>
          </w:p>
        </w:tc>
        <w:tc>
          <w:tcPr>
            <w:tcW w:w="1862" w:type="dxa"/>
          </w:tcPr>
          <w:p>
            <w:pPr>
              <w:pStyle w:val="10"/>
              <w:spacing w:line="247" w:lineRule="exact"/>
              <w:ind w:left="144" w:right="138"/>
              <w:rPr>
                <w:rFonts w:ascii="Arial"/>
                <w:sz w:val="22"/>
              </w:rPr>
            </w:pPr>
            <w:r>
              <w:rPr>
                <w:rFonts w:ascii="Arial"/>
                <w:sz w:val="22"/>
              </w:rPr>
              <w:t>Below 60</w:t>
            </w:r>
          </w:p>
        </w:tc>
        <w:tc>
          <w:tcPr>
            <w:tcW w:w="1860" w:type="dxa"/>
          </w:tcPr>
          <w:p>
            <w:pPr>
              <w:pStyle w:val="10"/>
              <w:spacing w:line="247" w:lineRule="exact"/>
              <w:ind w:left="275" w:right="271"/>
              <w:rPr>
                <w:rFonts w:ascii="Arial"/>
                <w:sz w:val="22"/>
              </w:rPr>
            </w:pPr>
            <w:r>
              <w:rPr>
                <w:rFonts w:ascii="Arial"/>
                <w:sz w:val="22"/>
              </w:rPr>
              <w:t>Failure</w:t>
            </w:r>
          </w:p>
        </w:tc>
      </w:tr>
    </w:tbl>
    <w:p>
      <w:pPr>
        <w:pStyle w:val="5"/>
        <w:rPr>
          <w:b/>
          <w:sz w:val="24"/>
        </w:rPr>
      </w:pPr>
    </w:p>
    <w:p>
      <w:pPr>
        <w:pStyle w:val="5"/>
        <w:rPr>
          <w:sz w:val="20"/>
        </w:rPr>
      </w:pPr>
    </w:p>
    <w:p>
      <w:pPr>
        <w:pStyle w:val="3"/>
        <w:spacing w:before="217"/>
        <w:ind w:left="391"/>
        <w:rPr>
          <w:u w:val="none"/>
        </w:rPr>
      </w:pPr>
      <w:r>
        <w:rPr>
          <w:u w:val="single"/>
        </w:rPr>
        <w:t>Course Schedule</w:t>
      </w:r>
    </w:p>
    <w:p>
      <w:pPr>
        <w:pStyle w:val="5"/>
        <w:spacing w:before="3"/>
        <w:rPr>
          <w:b/>
          <w:sz w:val="15"/>
        </w:rPr>
      </w:pPr>
    </w:p>
    <w:p>
      <w:pPr>
        <w:pStyle w:val="4"/>
      </w:pPr>
      <w:r>
        <w:t>*Course Schedule is subject to change</w:t>
      </w:r>
    </w:p>
    <w:tbl>
      <w:tblPr>
        <w:tblStyle w:val="6"/>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24"/>
        <w:gridCol w:w="5162"/>
        <w:gridCol w:w="1016"/>
        <w:gridCol w:w="15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5" w:hRule="atLeast"/>
        </w:trPr>
        <w:tc>
          <w:tcPr>
            <w:tcW w:w="924" w:type="dxa"/>
          </w:tcPr>
          <w:p>
            <w:pPr>
              <w:pStyle w:val="10"/>
              <w:jc w:val="left"/>
              <w:rPr>
                <w:rFonts w:ascii="Arial"/>
                <w:b/>
                <w:sz w:val="23"/>
              </w:rPr>
            </w:pPr>
          </w:p>
          <w:p>
            <w:pPr>
              <w:pStyle w:val="10"/>
              <w:ind w:left="111" w:right="98"/>
              <w:rPr>
                <w:sz w:val="22"/>
              </w:rPr>
            </w:pPr>
            <w:r>
              <w:rPr>
                <w:sz w:val="22"/>
              </w:rPr>
              <w:t>Session</w:t>
            </w:r>
          </w:p>
        </w:tc>
        <w:tc>
          <w:tcPr>
            <w:tcW w:w="5162" w:type="dxa"/>
          </w:tcPr>
          <w:p>
            <w:pPr>
              <w:pStyle w:val="10"/>
              <w:jc w:val="left"/>
              <w:rPr>
                <w:rFonts w:ascii="Arial"/>
                <w:b/>
                <w:sz w:val="23"/>
              </w:rPr>
            </w:pPr>
          </w:p>
          <w:p>
            <w:pPr>
              <w:pStyle w:val="10"/>
              <w:ind w:left="1840" w:right="1825"/>
              <w:rPr>
                <w:sz w:val="22"/>
              </w:rPr>
            </w:pPr>
            <w:r>
              <w:rPr>
                <w:sz w:val="22"/>
              </w:rPr>
              <w:t>Topics</w:t>
            </w:r>
          </w:p>
        </w:tc>
        <w:tc>
          <w:tcPr>
            <w:tcW w:w="1016" w:type="dxa"/>
          </w:tcPr>
          <w:p>
            <w:pPr>
              <w:pStyle w:val="10"/>
              <w:jc w:val="left"/>
              <w:rPr>
                <w:rFonts w:ascii="Arial"/>
                <w:b/>
                <w:sz w:val="23"/>
              </w:rPr>
            </w:pPr>
          </w:p>
          <w:p>
            <w:pPr>
              <w:pStyle w:val="10"/>
              <w:ind w:left="263" w:right="248"/>
              <w:rPr>
                <w:sz w:val="22"/>
              </w:rPr>
            </w:pPr>
            <w:r>
              <w:rPr>
                <w:sz w:val="22"/>
              </w:rPr>
              <w:t>Chap</w:t>
            </w:r>
          </w:p>
        </w:tc>
        <w:tc>
          <w:tcPr>
            <w:tcW w:w="1516" w:type="dxa"/>
          </w:tcPr>
          <w:p>
            <w:pPr>
              <w:pStyle w:val="10"/>
              <w:jc w:val="left"/>
              <w:rPr>
                <w:rFonts w:ascii="Arial"/>
                <w:b/>
                <w:sz w:val="23"/>
              </w:rPr>
            </w:pPr>
          </w:p>
          <w:p>
            <w:pPr>
              <w:pStyle w:val="10"/>
              <w:ind w:left="260" w:right="247"/>
              <w:rPr>
                <w:sz w:val="22"/>
              </w:rPr>
            </w:pPr>
            <w:r>
              <w:rPr>
                <w:sz w:val="22"/>
              </w:rPr>
              <w:t>Due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4" w:hRule="atLeast"/>
        </w:trPr>
        <w:tc>
          <w:tcPr>
            <w:tcW w:w="924" w:type="dxa"/>
          </w:tcPr>
          <w:p>
            <w:pPr>
              <w:pStyle w:val="10"/>
              <w:spacing w:before="158"/>
              <w:ind w:left="13"/>
              <w:rPr>
                <w:sz w:val="22"/>
              </w:rPr>
            </w:pPr>
            <w:r>
              <w:rPr>
                <w:sz w:val="22"/>
              </w:rPr>
              <w:t>1</w:t>
            </w:r>
          </w:p>
        </w:tc>
        <w:tc>
          <w:tcPr>
            <w:tcW w:w="5162" w:type="dxa"/>
          </w:tcPr>
          <w:p>
            <w:pPr>
              <w:pStyle w:val="10"/>
              <w:spacing w:before="4" w:line="276" w:lineRule="auto"/>
              <w:ind w:left="637" w:hanging="490"/>
              <w:jc w:val="left"/>
              <w:rPr>
                <w:sz w:val="22"/>
              </w:rPr>
            </w:pPr>
            <w:r>
              <w:rPr>
                <w:sz w:val="22"/>
              </w:rPr>
              <w:t>Financial Management and the Financial Environment, Financial Statements, Cash Flows and Taxes</w:t>
            </w:r>
          </w:p>
        </w:tc>
        <w:tc>
          <w:tcPr>
            <w:tcW w:w="1016" w:type="dxa"/>
          </w:tcPr>
          <w:p>
            <w:pPr>
              <w:pStyle w:val="10"/>
              <w:spacing w:before="158"/>
              <w:ind w:left="13"/>
              <w:rPr>
                <w:sz w:val="22"/>
              </w:rPr>
            </w:pPr>
            <w:r>
              <w:rPr>
                <w:sz w:val="22"/>
              </w:rPr>
              <w:t>1</w:t>
            </w:r>
          </w:p>
        </w:tc>
        <w:tc>
          <w:tcPr>
            <w:tcW w:w="1516" w:type="dxa"/>
          </w:tcPr>
          <w:p>
            <w:pPr>
              <w:pStyle w:val="10"/>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2" w:hRule="atLeast"/>
        </w:trPr>
        <w:tc>
          <w:tcPr>
            <w:tcW w:w="924" w:type="dxa"/>
          </w:tcPr>
          <w:p>
            <w:pPr>
              <w:pStyle w:val="10"/>
              <w:jc w:val="left"/>
              <w:rPr>
                <w:rFonts w:ascii="Arial"/>
                <w:b/>
                <w:sz w:val="19"/>
              </w:rPr>
            </w:pPr>
          </w:p>
          <w:p>
            <w:pPr>
              <w:pStyle w:val="10"/>
              <w:ind w:left="13"/>
              <w:rPr>
                <w:sz w:val="22"/>
              </w:rPr>
            </w:pPr>
            <w:r>
              <w:rPr>
                <w:sz w:val="22"/>
              </w:rPr>
              <w:t>2</w:t>
            </w:r>
          </w:p>
        </w:tc>
        <w:tc>
          <w:tcPr>
            <w:tcW w:w="5162" w:type="dxa"/>
          </w:tcPr>
          <w:p>
            <w:pPr>
              <w:pStyle w:val="10"/>
              <w:jc w:val="left"/>
              <w:rPr>
                <w:rFonts w:ascii="Arial"/>
                <w:b/>
                <w:sz w:val="19"/>
              </w:rPr>
            </w:pPr>
          </w:p>
          <w:p>
            <w:pPr>
              <w:pStyle w:val="10"/>
              <w:ind w:left="1126"/>
              <w:jc w:val="left"/>
              <w:rPr>
                <w:sz w:val="22"/>
              </w:rPr>
            </w:pPr>
            <w:r>
              <w:rPr>
                <w:sz w:val="22"/>
              </w:rPr>
              <w:t>Analysis of Financial Statements</w:t>
            </w:r>
          </w:p>
        </w:tc>
        <w:tc>
          <w:tcPr>
            <w:tcW w:w="1016" w:type="dxa"/>
          </w:tcPr>
          <w:p>
            <w:pPr>
              <w:pStyle w:val="10"/>
              <w:jc w:val="left"/>
              <w:rPr>
                <w:rFonts w:ascii="Arial"/>
                <w:b/>
                <w:sz w:val="19"/>
              </w:rPr>
            </w:pPr>
          </w:p>
          <w:p>
            <w:pPr>
              <w:pStyle w:val="10"/>
              <w:ind w:left="13"/>
              <w:rPr>
                <w:sz w:val="22"/>
              </w:rPr>
            </w:pPr>
            <w:r>
              <w:rPr>
                <w:sz w:val="22"/>
              </w:rPr>
              <w:t>2</w:t>
            </w:r>
          </w:p>
        </w:tc>
        <w:tc>
          <w:tcPr>
            <w:tcW w:w="1516" w:type="dxa"/>
          </w:tcPr>
          <w:p>
            <w:pPr>
              <w:pStyle w:val="10"/>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5" w:hRule="atLeast"/>
        </w:trPr>
        <w:tc>
          <w:tcPr>
            <w:tcW w:w="924" w:type="dxa"/>
          </w:tcPr>
          <w:p>
            <w:pPr>
              <w:pStyle w:val="10"/>
              <w:spacing w:before="158"/>
              <w:ind w:left="13"/>
              <w:rPr>
                <w:sz w:val="22"/>
              </w:rPr>
            </w:pPr>
            <w:r>
              <w:rPr>
                <w:sz w:val="22"/>
              </w:rPr>
              <w:t>3</w:t>
            </w:r>
          </w:p>
        </w:tc>
        <w:tc>
          <w:tcPr>
            <w:tcW w:w="5162" w:type="dxa"/>
          </w:tcPr>
          <w:p>
            <w:pPr>
              <w:pStyle w:val="10"/>
              <w:spacing w:before="4" w:line="276" w:lineRule="auto"/>
              <w:ind w:left="1936" w:hanging="1568"/>
              <w:jc w:val="left"/>
              <w:rPr>
                <w:sz w:val="22"/>
              </w:rPr>
            </w:pPr>
            <w:r>
              <w:rPr>
                <w:sz w:val="22"/>
              </w:rPr>
              <w:t>Time Value of Money, Bonds, Bond Valuation and Interest Rates</w:t>
            </w:r>
          </w:p>
        </w:tc>
        <w:tc>
          <w:tcPr>
            <w:tcW w:w="1016" w:type="dxa"/>
          </w:tcPr>
          <w:p>
            <w:pPr>
              <w:pStyle w:val="10"/>
              <w:spacing w:before="158"/>
              <w:ind w:left="13"/>
              <w:rPr>
                <w:sz w:val="22"/>
              </w:rPr>
            </w:pPr>
            <w:r>
              <w:rPr>
                <w:sz w:val="22"/>
              </w:rPr>
              <w:t>3</w:t>
            </w:r>
          </w:p>
        </w:tc>
        <w:tc>
          <w:tcPr>
            <w:tcW w:w="1516" w:type="dxa"/>
          </w:tcPr>
          <w:p>
            <w:pPr>
              <w:pStyle w:val="10"/>
              <w:spacing w:before="4" w:line="276" w:lineRule="auto"/>
              <w:ind w:left="411" w:right="429" w:firstLine="58"/>
              <w:jc w:val="left"/>
              <w:rPr>
                <w:sz w:val="22"/>
              </w:rPr>
            </w:pPr>
            <w:r>
              <w:rPr>
                <w:sz w:val="22"/>
              </w:rPr>
              <w:t>Article Review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6" w:hRule="atLeast"/>
        </w:trPr>
        <w:tc>
          <w:tcPr>
            <w:tcW w:w="924" w:type="dxa"/>
          </w:tcPr>
          <w:p>
            <w:pPr>
              <w:pStyle w:val="10"/>
              <w:spacing w:before="4"/>
              <w:ind w:left="13"/>
              <w:rPr>
                <w:sz w:val="22"/>
              </w:rPr>
            </w:pPr>
            <w:r>
              <w:rPr>
                <w:sz w:val="22"/>
              </w:rPr>
              <w:t>4</w:t>
            </w:r>
          </w:p>
        </w:tc>
        <w:tc>
          <w:tcPr>
            <w:tcW w:w="5162" w:type="dxa"/>
          </w:tcPr>
          <w:p>
            <w:pPr>
              <w:pStyle w:val="10"/>
              <w:spacing w:before="4"/>
              <w:ind w:left="1884" w:right="1825"/>
              <w:rPr>
                <w:sz w:val="22"/>
              </w:rPr>
            </w:pPr>
            <w:r>
              <w:rPr>
                <w:sz w:val="22"/>
              </w:rPr>
              <w:t>Risk and Return</w:t>
            </w:r>
          </w:p>
        </w:tc>
        <w:tc>
          <w:tcPr>
            <w:tcW w:w="1016" w:type="dxa"/>
          </w:tcPr>
          <w:p>
            <w:pPr>
              <w:pStyle w:val="10"/>
              <w:spacing w:before="4"/>
              <w:ind w:left="13"/>
              <w:rPr>
                <w:sz w:val="22"/>
              </w:rPr>
            </w:pPr>
            <w:r>
              <w:rPr>
                <w:sz w:val="22"/>
              </w:rPr>
              <w:t>4</w:t>
            </w:r>
          </w:p>
        </w:tc>
        <w:tc>
          <w:tcPr>
            <w:tcW w:w="1516" w:type="dxa"/>
          </w:tcPr>
          <w:p>
            <w:pPr>
              <w:pStyle w:val="10"/>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6" w:hRule="atLeast"/>
        </w:trPr>
        <w:tc>
          <w:tcPr>
            <w:tcW w:w="924" w:type="dxa"/>
          </w:tcPr>
          <w:p>
            <w:pPr>
              <w:pStyle w:val="10"/>
              <w:spacing w:before="4"/>
              <w:ind w:left="13"/>
              <w:rPr>
                <w:sz w:val="22"/>
              </w:rPr>
            </w:pPr>
            <w:r>
              <w:rPr>
                <w:sz w:val="22"/>
              </w:rPr>
              <w:t>5</w:t>
            </w:r>
          </w:p>
        </w:tc>
        <w:tc>
          <w:tcPr>
            <w:tcW w:w="5162" w:type="dxa"/>
          </w:tcPr>
          <w:p>
            <w:pPr>
              <w:pStyle w:val="10"/>
              <w:spacing w:before="4"/>
              <w:ind w:left="739"/>
              <w:jc w:val="left"/>
              <w:rPr>
                <w:sz w:val="22"/>
              </w:rPr>
            </w:pPr>
            <w:r>
              <w:rPr>
                <w:sz w:val="22"/>
              </w:rPr>
              <w:t>Corporate Valuation and Stock Valuation</w:t>
            </w:r>
          </w:p>
        </w:tc>
        <w:tc>
          <w:tcPr>
            <w:tcW w:w="1016" w:type="dxa"/>
          </w:tcPr>
          <w:p>
            <w:pPr>
              <w:pStyle w:val="10"/>
              <w:spacing w:before="4"/>
              <w:ind w:left="13"/>
              <w:rPr>
                <w:sz w:val="22"/>
              </w:rPr>
            </w:pPr>
            <w:r>
              <w:rPr>
                <w:sz w:val="22"/>
              </w:rPr>
              <w:t>6</w:t>
            </w:r>
          </w:p>
        </w:tc>
        <w:tc>
          <w:tcPr>
            <w:tcW w:w="1516" w:type="dxa"/>
          </w:tcPr>
          <w:p>
            <w:pPr>
              <w:pStyle w:val="10"/>
              <w:spacing w:before="4"/>
              <w:ind w:left="260" w:right="246"/>
              <w:rPr>
                <w:sz w:val="22"/>
              </w:rPr>
            </w:pPr>
            <w:r>
              <w:rPr>
                <w:sz w:val="22"/>
              </w:rPr>
              <w:t>Quiz</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3" w:hRule="atLeast"/>
        </w:trPr>
        <w:tc>
          <w:tcPr>
            <w:tcW w:w="924" w:type="dxa"/>
          </w:tcPr>
          <w:p>
            <w:pPr>
              <w:pStyle w:val="10"/>
              <w:spacing w:before="158"/>
              <w:ind w:left="13"/>
              <w:rPr>
                <w:sz w:val="22"/>
              </w:rPr>
            </w:pPr>
            <w:r>
              <w:rPr>
                <w:sz w:val="22"/>
              </w:rPr>
              <w:t>6</w:t>
            </w:r>
          </w:p>
        </w:tc>
        <w:tc>
          <w:tcPr>
            <w:tcW w:w="5162" w:type="dxa"/>
          </w:tcPr>
          <w:p>
            <w:pPr>
              <w:pStyle w:val="10"/>
              <w:spacing w:before="4" w:line="276" w:lineRule="auto"/>
              <w:ind w:left="1537" w:hanging="1052"/>
              <w:jc w:val="left"/>
              <w:rPr>
                <w:sz w:val="22"/>
              </w:rPr>
            </w:pPr>
            <w:r>
              <w:rPr>
                <w:sz w:val="22"/>
              </w:rPr>
              <w:t>Financial Options and Applications in Corporate Finance, Cost of Capital</w:t>
            </w:r>
          </w:p>
        </w:tc>
        <w:tc>
          <w:tcPr>
            <w:tcW w:w="1016" w:type="dxa"/>
          </w:tcPr>
          <w:p>
            <w:pPr>
              <w:pStyle w:val="10"/>
              <w:spacing w:before="158"/>
              <w:ind w:left="13"/>
              <w:rPr>
                <w:sz w:val="22"/>
              </w:rPr>
            </w:pPr>
            <w:r>
              <w:rPr>
                <w:sz w:val="22"/>
              </w:rPr>
              <w:t>8</w:t>
            </w:r>
          </w:p>
        </w:tc>
        <w:tc>
          <w:tcPr>
            <w:tcW w:w="1516" w:type="dxa"/>
          </w:tcPr>
          <w:p>
            <w:pPr>
              <w:pStyle w:val="10"/>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6" w:hRule="atLeast"/>
        </w:trPr>
        <w:tc>
          <w:tcPr>
            <w:tcW w:w="924" w:type="dxa"/>
          </w:tcPr>
          <w:p>
            <w:pPr>
              <w:pStyle w:val="10"/>
              <w:spacing w:before="4"/>
              <w:ind w:left="13"/>
              <w:rPr>
                <w:sz w:val="22"/>
              </w:rPr>
            </w:pPr>
            <w:r>
              <w:rPr>
                <w:sz w:val="22"/>
              </w:rPr>
              <w:t>7</w:t>
            </w:r>
          </w:p>
        </w:tc>
        <w:tc>
          <w:tcPr>
            <w:tcW w:w="5162" w:type="dxa"/>
          </w:tcPr>
          <w:p>
            <w:pPr>
              <w:pStyle w:val="10"/>
              <w:spacing w:before="4"/>
              <w:ind w:left="257"/>
              <w:jc w:val="left"/>
              <w:rPr>
                <w:sz w:val="22"/>
              </w:rPr>
            </w:pPr>
            <w:r>
              <w:rPr>
                <w:sz w:val="22"/>
              </w:rPr>
              <w:t>The Basic of Capital Budgeting Evaluating Cash Flows</w:t>
            </w:r>
          </w:p>
        </w:tc>
        <w:tc>
          <w:tcPr>
            <w:tcW w:w="1016" w:type="dxa"/>
          </w:tcPr>
          <w:p>
            <w:pPr>
              <w:pStyle w:val="10"/>
              <w:spacing w:before="4"/>
              <w:ind w:left="13"/>
              <w:rPr>
                <w:sz w:val="22"/>
              </w:rPr>
            </w:pPr>
            <w:r>
              <w:rPr>
                <w:sz w:val="22"/>
              </w:rPr>
              <w:t>9</w:t>
            </w:r>
          </w:p>
        </w:tc>
        <w:tc>
          <w:tcPr>
            <w:tcW w:w="1516" w:type="dxa"/>
          </w:tcPr>
          <w:p>
            <w:pPr>
              <w:pStyle w:val="10"/>
              <w:spacing w:before="4"/>
              <w:ind w:left="260" w:right="246"/>
              <w:rPr>
                <w:sz w:val="22"/>
              </w:rPr>
            </w:pPr>
            <w:r>
              <w:rPr>
                <w:sz w:val="22"/>
              </w:rPr>
              <w:t>Quiz</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6" w:hRule="atLeast"/>
        </w:trPr>
        <w:tc>
          <w:tcPr>
            <w:tcW w:w="924" w:type="dxa"/>
          </w:tcPr>
          <w:p>
            <w:pPr>
              <w:pStyle w:val="10"/>
              <w:spacing w:before="4"/>
              <w:ind w:left="13"/>
              <w:rPr>
                <w:sz w:val="22"/>
              </w:rPr>
            </w:pPr>
            <w:r>
              <w:rPr>
                <w:sz w:val="22"/>
              </w:rPr>
              <w:t>8</w:t>
            </w:r>
          </w:p>
        </w:tc>
        <w:tc>
          <w:tcPr>
            <w:tcW w:w="5162" w:type="dxa"/>
          </w:tcPr>
          <w:p>
            <w:pPr>
              <w:pStyle w:val="10"/>
              <w:spacing w:before="4"/>
              <w:ind w:left="305"/>
              <w:jc w:val="left"/>
              <w:rPr>
                <w:sz w:val="22"/>
              </w:rPr>
            </w:pPr>
            <w:r>
              <w:rPr>
                <w:sz w:val="22"/>
              </w:rPr>
              <w:t>Cash Flow Estimation, Corporate Valuations and FP</w:t>
            </w:r>
          </w:p>
        </w:tc>
        <w:tc>
          <w:tcPr>
            <w:tcW w:w="1016" w:type="dxa"/>
          </w:tcPr>
          <w:p>
            <w:pPr>
              <w:pStyle w:val="10"/>
              <w:spacing w:before="4"/>
              <w:ind w:left="263" w:right="247"/>
              <w:rPr>
                <w:sz w:val="22"/>
              </w:rPr>
            </w:pPr>
            <w:r>
              <w:rPr>
                <w:sz w:val="22"/>
              </w:rPr>
              <w:t>all</w:t>
            </w:r>
          </w:p>
        </w:tc>
        <w:tc>
          <w:tcPr>
            <w:tcW w:w="1516" w:type="dxa"/>
          </w:tcPr>
          <w:p>
            <w:pPr>
              <w:pStyle w:val="10"/>
              <w:spacing w:before="4"/>
              <w:ind w:left="260" w:right="248"/>
              <w:rPr>
                <w:sz w:val="22"/>
              </w:rPr>
            </w:pPr>
            <w:r>
              <w:rPr>
                <w:sz w:val="22"/>
              </w:rPr>
              <w:t>Final Exam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6" w:hRule="atLeast"/>
        </w:trPr>
        <w:tc>
          <w:tcPr>
            <w:tcW w:w="924" w:type="dxa"/>
          </w:tcPr>
          <w:p>
            <w:pPr>
              <w:pStyle w:val="10"/>
              <w:jc w:val="left"/>
              <w:rPr>
                <w:rFonts w:ascii="Times New Roman"/>
                <w:sz w:val="20"/>
              </w:rPr>
            </w:pPr>
          </w:p>
        </w:tc>
        <w:tc>
          <w:tcPr>
            <w:tcW w:w="5162" w:type="dxa"/>
          </w:tcPr>
          <w:p>
            <w:pPr>
              <w:pStyle w:val="10"/>
              <w:jc w:val="left"/>
              <w:rPr>
                <w:rFonts w:ascii="Times New Roman"/>
                <w:sz w:val="20"/>
              </w:rPr>
            </w:pPr>
          </w:p>
        </w:tc>
        <w:tc>
          <w:tcPr>
            <w:tcW w:w="1016" w:type="dxa"/>
          </w:tcPr>
          <w:p>
            <w:pPr>
              <w:pStyle w:val="10"/>
              <w:jc w:val="left"/>
              <w:rPr>
                <w:rFonts w:ascii="Times New Roman"/>
                <w:sz w:val="20"/>
              </w:rPr>
            </w:pPr>
          </w:p>
        </w:tc>
        <w:tc>
          <w:tcPr>
            <w:tcW w:w="1516" w:type="dxa"/>
          </w:tcPr>
          <w:p>
            <w:pPr>
              <w:pStyle w:val="10"/>
              <w:jc w:val="left"/>
              <w:rPr>
                <w:rFonts w:ascii="Times New Roman"/>
                <w:sz w:val="20"/>
              </w:rPr>
            </w:pPr>
          </w:p>
        </w:tc>
      </w:tr>
    </w:tbl>
    <w:p>
      <w:pPr>
        <w:pStyle w:val="5"/>
        <w:spacing w:before="11"/>
        <w:rPr>
          <w:b/>
          <w:sz w:val="26"/>
        </w:rPr>
      </w:pPr>
    </w:p>
    <w:p>
      <w:pPr>
        <w:spacing w:before="0"/>
        <w:ind w:left="121" w:right="0" w:firstLine="0"/>
        <w:jc w:val="left"/>
        <w:rPr>
          <w:b/>
          <w:i/>
          <w:sz w:val="20"/>
        </w:rPr>
      </w:pPr>
      <w:r>
        <w:rPr>
          <w:b/>
          <w:i/>
          <w:sz w:val="20"/>
        </w:rPr>
        <w:t>Proprietary and Confidential – no unauthorized distribution or reproduction permitted</w:t>
      </w:r>
    </w:p>
    <w:p>
      <w:pPr>
        <w:spacing w:before="0"/>
        <w:ind w:left="121" w:right="133" w:firstLine="0"/>
        <w:jc w:val="left"/>
        <w:rPr>
          <w:sz w:val="20"/>
        </w:rPr>
      </w:pPr>
      <w:r>
        <w:rPr>
          <w:sz w:val="20"/>
        </w:rPr>
        <w:t>The information disclosed in this document is proprietary and confidential information concerning academic, technical, and business affairs of Vaughn College of Aeronautics &amp; Technology (“Vaughn”). This information can include all academic, instructional, institutional and related materials, which is the valuable property of Vaughn and/or its administrators, instructors, associates, employees, agents, contractors, affiliates or licensors. Vaughn and/or its licensors, as appropriate, reserve all patent, copyright and other proprietary rights to this document, including all idea, design, authoring, reproduction, distribution and use rights thereto, except to the extent said rights are expressly granted to others.</w:t>
      </w:r>
    </w:p>
    <w:p>
      <w:pPr>
        <w:spacing w:before="0"/>
        <w:ind w:left="121" w:right="0" w:firstLine="0"/>
        <w:jc w:val="left"/>
        <w:rPr>
          <w:sz w:val="20"/>
        </w:rPr>
      </w:pPr>
      <w:r>
        <w:rPr>
          <w:sz w:val="20"/>
        </w:rPr>
        <w:t>Reproduction of this document or portions thereof without prior written approval of Vaughn is prohibited.</w:t>
      </w:r>
    </w:p>
    <w:p>
      <w:pPr>
        <w:spacing w:before="0"/>
        <w:ind w:left="121" w:right="0" w:firstLine="0"/>
        <w:jc w:val="left"/>
        <w:rPr>
          <w:sz w:val="20"/>
        </w:rPr>
      </w:pPr>
    </w:p>
    <w:tbl>
      <w:tblPr>
        <w:tblStyle w:val="6"/>
        <w:tblpPr w:leftFromText="180" w:rightFromText="180" w:vertAnchor="text" w:horzAnchor="page" w:tblpX="1742" w:tblpY="241"/>
        <w:tblOverlap w:val="never"/>
        <w:tblW w:w="8647" w:type="dxa"/>
        <w:tblInd w:w="0" w:type="dxa"/>
        <w:tblLayout w:type="fixed"/>
        <w:tblCellMar>
          <w:top w:w="0" w:type="dxa"/>
          <w:left w:w="108" w:type="dxa"/>
          <w:bottom w:w="0" w:type="dxa"/>
          <w:right w:w="108" w:type="dxa"/>
        </w:tblCellMar>
      </w:tblPr>
      <w:tblGrid>
        <w:gridCol w:w="4323"/>
        <w:gridCol w:w="4324"/>
      </w:tblGrid>
      <w:tr>
        <w:tblPrEx>
          <w:tblCellMar>
            <w:top w:w="0" w:type="dxa"/>
            <w:left w:w="108" w:type="dxa"/>
            <w:bottom w:w="0" w:type="dxa"/>
            <w:right w:w="108" w:type="dxa"/>
          </w:tblCellMar>
        </w:tblPrEx>
        <w:trPr>
          <w:trHeight w:val="609" w:hRule="atLeast"/>
        </w:trPr>
        <w:tc>
          <w:tcPr>
            <w:tcW w:w="4323" w:type="dxa"/>
            <w:noWrap w:val="0"/>
            <w:vAlign w:val="center"/>
          </w:tcPr>
          <w:p>
            <w:pPr>
              <w:snapToGrid w:val="0"/>
              <w:spacing w:before="120" w:after="120" w:line="288" w:lineRule="auto"/>
              <w:jc w:val="left"/>
              <w:rPr>
                <w:rFonts w:hint="eastAsia" w:ascii="Times New Roman" w:hAnsi="Times New Roman" w:eastAsia="宋体"/>
                <w:color w:val="000000"/>
                <w:sz w:val="20"/>
                <w:szCs w:val="20"/>
                <w:lang w:eastAsia="zh-CN"/>
              </w:rPr>
            </w:pPr>
            <w:r>
              <w:rPr>
                <w:rFonts w:ascii="Times New Roman" w:hAnsi="Times New Roman"/>
                <w:sz w:val="20"/>
                <w:szCs w:val="20"/>
              </w:rPr>
              <w:t>Instructor</w:t>
            </w:r>
            <w:r>
              <w:rPr>
                <w:rFonts w:ascii="Times New Roman"/>
                <w:color w:val="000000"/>
                <w:sz w:val="20"/>
                <w:szCs w:val="20"/>
              </w:rPr>
              <w:t>：</w:t>
            </w:r>
            <w:r>
              <w:rPr>
                <w:rFonts w:hint="eastAsia" w:ascii="Times New Roman" w:hAnsi="Times New Roman" w:eastAsia="宋体"/>
                <w:color w:val="000000"/>
                <w:sz w:val="20"/>
                <w:szCs w:val="20"/>
                <w:lang w:eastAsia="zh-CN"/>
              </w:rPr>
              <w:drawing>
                <wp:inline distT="0" distB="0" distL="114300" distR="114300">
                  <wp:extent cx="1113790" cy="288925"/>
                  <wp:effectExtent l="0" t="0" r="10160" b="15875"/>
                  <wp:docPr id="2" name="图片 1" descr="1663266172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1663266172232"/>
                          <pic:cNvPicPr>
                            <a:picLocks noChangeAspect="1"/>
                          </pic:cNvPicPr>
                        </pic:nvPicPr>
                        <pic:blipFill>
                          <a:blip r:embed="rId8">
                            <a:lum bright="23999"/>
                          </a:blip>
                          <a:stretch>
                            <a:fillRect/>
                          </a:stretch>
                        </pic:blipFill>
                        <pic:spPr>
                          <a:xfrm>
                            <a:off x="0" y="0"/>
                            <a:ext cx="1113790" cy="288925"/>
                          </a:xfrm>
                          <a:prstGeom prst="rect">
                            <a:avLst/>
                          </a:prstGeom>
                          <a:noFill/>
                          <a:ln>
                            <a:noFill/>
                          </a:ln>
                        </pic:spPr>
                      </pic:pic>
                    </a:graphicData>
                  </a:graphic>
                </wp:inline>
              </w:drawing>
            </w:r>
          </w:p>
          <w:p>
            <w:pPr>
              <w:snapToGrid w:val="0"/>
              <w:spacing w:before="120" w:after="120" w:line="288" w:lineRule="auto"/>
              <w:jc w:val="left"/>
              <w:rPr>
                <w:rFonts w:hint="eastAsia" w:ascii="Times New Roman" w:hAnsi="Times New Roman" w:eastAsia="宋体"/>
                <w:color w:val="000000"/>
                <w:sz w:val="20"/>
                <w:szCs w:val="20"/>
                <w:lang w:eastAsia="zh-CN"/>
              </w:rPr>
            </w:pPr>
          </w:p>
          <w:p>
            <w:pPr>
              <w:snapToGrid w:val="0"/>
              <w:spacing w:before="120" w:after="120" w:line="288" w:lineRule="auto"/>
              <w:jc w:val="left"/>
              <w:rPr>
                <w:rFonts w:ascii="Times New Roman" w:hAnsi="Times New Roman"/>
                <w:color w:val="000000"/>
                <w:sz w:val="20"/>
                <w:szCs w:val="20"/>
                <w:highlight w:val="yellow"/>
              </w:rPr>
            </w:pPr>
            <w:r>
              <w:rPr>
                <w:rFonts w:hint="default" w:ascii="Times New Roman" w:hAnsi="Times New Roman" w:eastAsia="宋体" w:cs="Times New Roman"/>
                <w:sz w:val="21"/>
                <w:szCs w:val="21"/>
                <w:lang w:val="en-US" w:eastAsia="zh-CN"/>
              </w:rPr>
              <w:t xml:space="preserve">Time：August 27, </w:t>
            </w:r>
            <w:r>
              <w:rPr>
                <w:rFonts w:hint="eastAsia" w:ascii="Times New Roman" w:hAnsi="Times New Roman" w:eastAsia="宋体" w:cs="Times New Roman"/>
                <w:sz w:val="21"/>
                <w:szCs w:val="21"/>
                <w:lang w:val="en-US" w:eastAsia="zh-CN"/>
              </w:rPr>
              <w:t>2022</w:t>
            </w:r>
          </w:p>
        </w:tc>
        <w:tc>
          <w:tcPr>
            <w:tcW w:w="4324" w:type="dxa"/>
            <w:noWrap w:val="0"/>
            <w:vAlign w:val="center"/>
          </w:tcPr>
          <w:p>
            <w:pPr>
              <w:snapToGrid w:val="0"/>
              <w:spacing w:before="120" w:after="120" w:line="288" w:lineRule="auto"/>
              <w:jc w:val="center"/>
              <w:rPr>
                <w:rFonts w:hint="eastAsia" w:ascii="Times New Roman" w:hAnsi="Times New Roman" w:eastAsia="宋体"/>
                <w:color w:val="000000"/>
                <w:sz w:val="20"/>
                <w:szCs w:val="20"/>
                <w:highlight w:val="yellow"/>
                <w:lang w:eastAsia="zh-CN"/>
              </w:rPr>
            </w:pPr>
            <w:r>
              <w:rPr>
                <w:rFonts w:hint="default" w:ascii="Times New Roman" w:hAnsi="Times New Roman" w:eastAsia="宋体" w:cs="Times New Roman"/>
                <w:sz w:val="21"/>
                <w:szCs w:val="21"/>
                <w:lang w:val="en-US" w:eastAsia="zh-CN"/>
              </w:rPr>
              <w:t>Department head audited signature:</w:t>
            </w:r>
            <w:r>
              <w:rPr>
                <w:rFonts w:hint="default" w:ascii="Times New Roman" w:hAnsi="Times New Roman" w:eastAsia="宋体" w:cs="Times New Roman"/>
                <w:sz w:val="21"/>
                <w:szCs w:val="21"/>
                <w:lang w:val="en-US" w:eastAsia="zh-CN"/>
              </w:rPr>
              <w:drawing>
                <wp:inline distT="0" distB="0" distL="114300" distR="114300">
                  <wp:extent cx="601345" cy="280670"/>
                  <wp:effectExtent l="0" t="0" r="8255" b="5080"/>
                  <wp:docPr id="3" name="图片 2" descr="15358830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1535883053(1)"/>
                          <pic:cNvPicPr>
                            <a:picLocks noChangeAspect="1"/>
                          </pic:cNvPicPr>
                        </pic:nvPicPr>
                        <pic:blipFill>
                          <a:blip r:embed="rId9"/>
                          <a:stretch>
                            <a:fillRect/>
                          </a:stretch>
                        </pic:blipFill>
                        <pic:spPr>
                          <a:xfrm>
                            <a:off x="0" y="0"/>
                            <a:ext cx="601345" cy="280670"/>
                          </a:xfrm>
                          <a:prstGeom prst="rect">
                            <a:avLst/>
                          </a:prstGeom>
                          <a:noFill/>
                          <a:ln>
                            <a:noFill/>
                          </a:ln>
                        </pic:spPr>
                      </pic:pic>
                    </a:graphicData>
                  </a:graphic>
                </wp:inline>
              </w:drawing>
            </w:r>
          </w:p>
        </w:tc>
      </w:tr>
    </w:tbl>
    <w:p>
      <w:pPr>
        <w:spacing w:before="0"/>
        <w:ind w:left="121" w:right="0" w:firstLine="0"/>
        <w:jc w:val="left"/>
        <w:rPr>
          <w:sz w:val="20"/>
        </w:rPr>
      </w:pPr>
      <w:bookmarkStart w:id="0" w:name="_GoBack"/>
      <w:bookmarkEnd w:id="0"/>
    </w:p>
    <w:sectPr>
      <w:footerReference r:id="rId5" w:type="default"/>
      <w:pgSz w:w="12240" w:h="15840"/>
      <w:pgMar w:top="1500" w:right="1340" w:bottom="1320" w:left="1320" w:header="0" w:footer="1135"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372745</wp:posOffset>
              </wp:positionH>
              <wp:positionV relativeFrom="page">
                <wp:posOffset>9175750</wp:posOffset>
              </wp:positionV>
              <wp:extent cx="7017385" cy="0"/>
              <wp:effectExtent l="0" t="0" r="0" b="0"/>
              <wp:wrapNone/>
              <wp:docPr id="4" name="直线 1"/>
              <wp:cNvGraphicFramePr/>
              <a:graphic xmlns:a="http://schemas.openxmlformats.org/drawingml/2006/main">
                <a:graphicData uri="http://schemas.microsoft.com/office/word/2010/wordprocessingShape">
                  <wps:wsp>
                    <wps:cNvCnPr/>
                    <wps:spPr>
                      <a:xfrm>
                        <a:off x="0" y="0"/>
                        <a:ext cx="7017385" cy="0"/>
                      </a:xfrm>
                      <a:prstGeom prst="line">
                        <a:avLst/>
                      </a:prstGeom>
                      <a:ln w="31750" cap="flat" cmpd="sng">
                        <a:solidFill>
                          <a:srgbClr val="000000"/>
                        </a:solidFill>
                        <a:prstDash val="solid"/>
                        <a:headEnd type="none" w="med" len="med"/>
                        <a:tailEnd type="none" w="med" len="med"/>
                      </a:ln>
                    </wps:spPr>
                    <wps:bodyPr upright="1"/>
                  </wps:wsp>
                </a:graphicData>
              </a:graphic>
            </wp:anchor>
          </w:drawing>
        </mc:Choice>
        <mc:Fallback>
          <w:pict>
            <v:line id="直线 1" o:spid="_x0000_s1026" o:spt="20" style="position:absolute;left:0pt;margin-left:29.35pt;margin-top:722.5pt;height:0pt;width:552.55pt;mso-position-horizontal-relative:page;mso-position-vertical-relative:page;z-index:-251657216;mso-width-relative:page;mso-height-relative:page;" filled="f" stroked="t" coordsize="21600,21600" o:gfxdata="UEsDBAoAAAAAAIdO4kAAAAAAAAAAAAAAAAAEAAAAZHJzL1BLAwQUAAAACACHTuJATCk5kdcAAAAN&#10;AQAADwAAAGRycy9kb3ducmV2LnhtbE2PTUvDQBCG74L/YRnBm92NtrHEbAoW9VhoFLxus9MkNDsb&#10;stsk/fdOD6LHeefh/cg3s+vEiENoPWlIFgoEUuVtS7WGr8/3hzWIEA1Z03lCDRcMsClub3KTWT/R&#10;Hscy1oJNKGRGQxNjn0kZqgadCQvfI/Hv6AdnIp9DLe1gJjZ3nXxUKpXOtMQJjelx22B1Ks9Ow9vH&#10;1O92Y3tMT3OpvlO73b8OF63v7xL1AiLiHP9guNbn6lBwp4M/kw2i07BaPzPJ+nK54lFXIkmfeM3h&#10;V5NFLv+vKH4AUEsDBBQAAAAIAIdO4kCUJM9k6QEAANwDAAAOAAAAZHJzL2Uyb0RvYy54bWytU82O&#10;0zAQviPxDpbvNOkuS1dR0z1sWS4IKgEPMLWdxJL/5HGb9ll4DU5ceJx9DcZOtwvLpQdycMae8Tfz&#10;fTNe3h2sYXsVUXvX8vms5kw54aV2fcu/fX14c8sZJnASjHeq5UeF/G71+tVyDI268oM3UkVGIA6b&#10;MbR8SCk0VYViUBZw5oNy5Ox8tJBoG/tKRhgJ3Zrqqq7fVaOPMkQvFCKdricnPyHGSwB912mh1l7s&#10;rHJpQo3KQCJKOOiAfFWq7Tol0ueuQ5WYaTkxTWWlJGRv81qtltD0EcKgxakEuKSEF5wsaEdJz1Br&#10;SMB2Uf8DZbWIHn2XZsLbaiJSFCEW8/qFNl8GCKpwIakxnEXH/wcrPu03kWnZ8recObDU8MfvPx5/&#10;/mLzrM0YsKGQe7eJpx2GTcxED120+U8U2KHoeTzrqQ6JCTpc1PPF9e0NZ+LJVz1fDBHTB+Uty0bL&#10;jXaZKjSw/4iJklHoU0g+No6NLb+eL26odQJo8DpqOJk2UPHo+nIZvdHyQRuTr2Dst/cmsj3k5pcv&#10;cyLgv8JyljXgMMUV1zQWgwL53kmWjoFkcfQaeK7BKsmZUfR4skWA0CTQ5pJISm0cVZBlnYTM1tbL&#10;IzVhF6LuB5KiKF9iqOml3tOA5qn6c1+Qnh/l6j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MKTmR&#10;1wAAAA0BAAAPAAAAAAAAAAEAIAAAACIAAABkcnMvZG93bnJldi54bWxQSwECFAAUAAAACACHTuJA&#10;lCTPZOkBAADcAwAADgAAAAAAAAABACAAAAAmAQAAZHJzL2Uyb0RvYy54bWxQSwUGAAAAAAYABgBZ&#10;AQAAgQUAAAAA&#10;">
              <v:fill on="f" focussize="0,0"/>
              <v:stroke weight="2.5pt" color="#000000" joinstyle="round"/>
              <v:imagedata o:title=""/>
              <o:lock v:ext="edit" aspectratio="f"/>
            </v:line>
          </w:pict>
        </mc:Fallback>
      </mc:AlternateContent>
    </w:r>
    <w:r>
      <mc:AlternateContent>
        <mc:Choice Requires="wps">
          <w:drawing>
            <wp:anchor distT="0" distB="0" distL="114300" distR="114300" simplePos="0" relativeHeight="251660288" behindDoc="1" locked="0" layoutInCell="1" allowOverlap="1">
              <wp:simplePos x="0" y="0"/>
              <wp:positionH relativeFrom="page">
                <wp:posOffset>502285</wp:posOffset>
              </wp:positionH>
              <wp:positionV relativeFrom="page">
                <wp:posOffset>9224010</wp:posOffset>
              </wp:positionV>
              <wp:extent cx="2584450" cy="312420"/>
              <wp:effectExtent l="0" t="0" r="0" b="0"/>
              <wp:wrapNone/>
              <wp:docPr id="5" name="文本框 2"/>
              <wp:cNvGraphicFramePr/>
              <a:graphic xmlns:a="http://schemas.openxmlformats.org/drawingml/2006/main">
                <a:graphicData uri="http://schemas.microsoft.com/office/word/2010/wordprocessingShape">
                  <wps:wsp>
                    <wps:cNvSpPr txBox="1"/>
                    <wps:spPr>
                      <a:xfrm>
                        <a:off x="0" y="0"/>
                        <a:ext cx="2584450" cy="312420"/>
                      </a:xfrm>
                      <a:prstGeom prst="rect">
                        <a:avLst/>
                      </a:prstGeom>
                      <a:noFill/>
                      <a:ln>
                        <a:noFill/>
                      </a:ln>
                    </wps:spPr>
                    <wps:txbx>
                      <w:txbxContent>
                        <w:p>
                          <w:pPr>
                            <w:pStyle w:val="5"/>
                            <w:spacing w:line="243" w:lineRule="exact"/>
                            <w:ind w:left="20"/>
                            <w:rPr>
                              <w:rFonts w:ascii="Calibri"/>
                            </w:rPr>
                          </w:pPr>
                          <w:r>
                            <w:rPr>
                              <w:rFonts w:ascii="Calibri"/>
                            </w:rPr>
                            <w:t>MGT230 Financial Management</w:t>
                          </w:r>
                        </w:p>
                        <w:p>
                          <w:pPr>
                            <w:spacing w:before="0" w:line="229" w:lineRule="exact"/>
                            <w:ind w:left="20" w:right="0" w:firstLine="0"/>
                            <w:jc w:val="left"/>
                            <w:rPr>
                              <w:sz w:val="20"/>
                            </w:rPr>
                          </w:pPr>
                          <w:r>
                            <w:rPr>
                              <w:sz w:val="20"/>
                            </w:rPr>
                            <w:t>Vaughn College of Aeronautics &amp; Technology</w:t>
                          </w:r>
                        </w:p>
                      </w:txbxContent>
                    </wps:txbx>
                    <wps:bodyPr lIns="0" tIns="0" rIns="0" bIns="0" upright="1"/>
                  </wps:wsp>
                </a:graphicData>
              </a:graphic>
            </wp:anchor>
          </w:drawing>
        </mc:Choice>
        <mc:Fallback>
          <w:pict>
            <v:shape id="文本框 2" o:spid="_x0000_s1026" o:spt="202" type="#_x0000_t202" style="position:absolute;left:0pt;margin-left:39.55pt;margin-top:726.3pt;height:24.6pt;width:203.5pt;mso-position-horizontal-relative:page;mso-position-vertical-relative:page;z-index:-251656192;mso-width-relative:page;mso-height-relative:page;" filled="f" stroked="f" coordsize="21600,21600" o:gfxdata="UEsDBAoAAAAAAIdO4kAAAAAAAAAAAAAAAAAEAAAAZHJzL1BLAwQUAAAACACHTuJAQaItutkAAAAM&#10;AQAADwAAAGRycy9kb3ducmV2LnhtbE2PTU/DMAyG70j8h8hI3FjSaStdaTohBCckRFcOHNPGa6s1&#10;TmmyD/495gRHP371+nGxvbhRnHAOgycNyUKBQGq9HajT8FG/3GUgQjRkzegJNXxjgG15fVWY3Poz&#10;VXjaxU5wCYXcaOhjnHIpQ9ujM2HhJyTe7f3sTORx7qSdzZnL3SiXSqXSmYH4Qm8mfOqxPeyOTsPj&#10;J1XPw9db817tq6GuN4pe04PWtzeJegAR8RL/wvCrz+pQslPjj2SDGDXcbxJOMl+tlykITqyylFHD&#10;aK2SDGRZyP9PlD9QSwMEFAAAAAgAh07iQH+w+hy7AQAAcgMAAA4AAABkcnMvZTJvRG9jLnhtbK1T&#10;S27bMBDdF+gdCO5r2qpdBILlAIWRIEDRFkhzAJoiLQL8gUNb8gXaG3TVTfc9l8/RIW05n26y6IYa&#10;zYzevPeGWl4P1pC9jKC9a+hsMqVEOuFb7bYNffh28+6KEkjctdx4Jxt6kECvV2/fLPtQy8p33rQy&#10;EgRxUPehoV1KoWYMRCcth4kP0mFR+Wh5wte4ZW3kPaJbw6rp9APrfWxD9EICYHZ9KtIzYnwNoFdK&#10;C7n2YmelSyfUKA1PKAk6HYCuClulpEhflAKZiGkoKk3lxCEYb/LJVktebyMPnRZnCvw1FF5oslw7&#10;HHqBWvPEyS7qf6CsFtGDV2kivGUnIcURVDGbvvDmvuNBFi1oNYSL6fD/YMXn/ddIdNvQBSWOW1z4&#10;8eeP468/x9/fSZXt6QPU2HUfsC8NH/2Al2bMAyaz6kFFm5+oh2AdzT1czJVDIgKT1eJqPl9gSWDt&#10;/ayaV8V99vh1iJBupbckBw2NuLziKd9/goRMsHVsycOcv9HGlAUa9yyBjTnDMvUTxRylYTOc9Wx8&#10;e0A55s6hlflajEEcg80Y7ELU2w7pFNEFEldRyJyvTd710/cy+PFXWf0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QaItutkAAAAMAQAADwAAAAAAAAABACAAAAAiAAAAZHJzL2Rvd25yZXYueG1sUEsB&#10;AhQAFAAAAAgAh07iQH+w+hy7AQAAcgMAAA4AAAAAAAAAAQAgAAAAKAEAAGRycy9lMm9Eb2MueG1s&#10;UEsFBgAAAAAGAAYAWQEAAFUFAAAAAA==&#10;">
              <v:fill on="f" focussize="0,0"/>
              <v:stroke on="f"/>
              <v:imagedata o:title=""/>
              <o:lock v:ext="edit" aspectratio="f"/>
              <v:textbox inset="0mm,0mm,0mm,0mm">
                <w:txbxContent>
                  <w:p>
                    <w:pPr>
                      <w:pStyle w:val="5"/>
                      <w:spacing w:line="243" w:lineRule="exact"/>
                      <w:ind w:left="20"/>
                      <w:rPr>
                        <w:rFonts w:ascii="Calibri"/>
                      </w:rPr>
                    </w:pPr>
                    <w:r>
                      <w:rPr>
                        <w:rFonts w:ascii="Calibri"/>
                      </w:rPr>
                      <w:t>MGT230 Financial Management</w:t>
                    </w:r>
                  </w:p>
                  <w:p>
                    <w:pPr>
                      <w:spacing w:before="0" w:line="229" w:lineRule="exact"/>
                      <w:ind w:left="20" w:right="0" w:firstLine="0"/>
                      <w:jc w:val="left"/>
                      <w:rPr>
                        <w:sz w:val="20"/>
                      </w:rPr>
                    </w:pPr>
                    <w:r>
                      <w:rPr>
                        <w:sz w:val="20"/>
                      </w:rPr>
                      <w:t>Vaughn College of Aeronautics &amp; Technology</w:t>
                    </w:r>
                  </w:p>
                </w:txbxContent>
              </v:textbox>
            </v:shape>
          </w:pict>
        </mc:Fallback>
      </mc:AlternateContent>
    </w:r>
    <w:r>
      <mc:AlternateContent>
        <mc:Choice Requires="wps">
          <w:drawing>
            <wp:anchor distT="0" distB="0" distL="114300" distR="114300" simplePos="0" relativeHeight="251661312" behindDoc="1" locked="0" layoutInCell="1" allowOverlap="1">
              <wp:simplePos x="0" y="0"/>
              <wp:positionH relativeFrom="page">
                <wp:posOffset>6539865</wp:posOffset>
              </wp:positionH>
              <wp:positionV relativeFrom="page">
                <wp:posOffset>9213850</wp:posOffset>
              </wp:positionV>
              <wp:extent cx="675640" cy="167640"/>
              <wp:effectExtent l="0" t="0" r="0" b="0"/>
              <wp:wrapNone/>
              <wp:docPr id="6" name="文本框 3"/>
              <wp:cNvGraphicFramePr/>
              <a:graphic xmlns:a="http://schemas.openxmlformats.org/drawingml/2006/main">
                <a:graphicData uri="http://schemas.microsoft.com/office/word/2010/wordprocessingShape">
                  <wps:wsp>
                    <wps:cNvSpPr txBox="1"/>
                    <wps:spPr>
                      <a:xfrm>
                        <a:off x="0" y="0"/>
                        <a:ext cx="675640" cy="167640"/>
                      </a:xfrm>
                      <a:prstGeom prst="rect">
                        <a:avLst/>
                      </a:prstGeom>
                      <a:noFill/>
                      <a:ln>
                        <a:noFill/>
                      </a:ln>
                    </wps:spPr>
                    <wps:txbx>
                      <w:txbxContent>
                        <w:p>
                          <w:pPr>
                            <w:spacing w:before="13"/>
                            <w:ind w:left="20" w:right="0" w:firstLine="0"/>
                            <w:jc w:val="left"/>
                            <w:rPr>
                              <w:sz w:val="20"/>
                            </w:rPr>
                          </w:pPr>
                          <w:r>
                            <w:rPr>
                              <w:sz w:val="20"/>
                            </w:rPr>
                            <w:t xml:space="preserve">Page </w:t>
                          </w:r>
                          <w:r>
                            <w:fldChar w:fldCharType="begin"/>
                          </w:r>
                          <w:r>
                            <w:rPr>
                              <w:sz w:val="20"/>
                            </w:rPr>
                            <w:instrText xml:space="preserve"> PAGE </w:instrText>
                          </w:r>
                          <w:r>
                            <w:fldChar w:fldCharType="separate"/>
                          </w:r>
                          <w:r>
                            <w:t>1</w:t>
                          </w:r>
                          <w:r>
                            <w:fldChar w:fldCharType="end"/>
                          </w:r>
                          <w:r>
                            <w:rPr>
                              <w:sz w:val="20"/>
                            </w:rPr>
                            <w:t xml:space="preserve"> of 5</w:t>
                          </w:r>
                        </w:p>
                      </w:txbxContent>
                    </wps:txbx>
                    <wps:bodyPr lIns="0" tIns="0" rIns="0" bIns="0" upright="1"/>
                  </wps:wsp>
                </a:graphicData>
              </a:graphic>
            </wp:anchor>
          </w:drawing>
        </mc:Choice>
        <mc:Fallback>
          <w:pict>
            <v:shape id="文本框 3" o:spid="_x0000_s1026" o:spt="202" type="#_x0000_t202" style="position:absolute;left:0pt;margin-left:514.95pt;margin-top:725.5pt;height:13.2pt;width:53.2pt;mso-position-horizontal-relative:page;mso-position-vertical-relative:page;z-index:-251655168;mso-width-relative:page;mso-height-relative:page;" filled="f" stroked="f" coordsize="21600,21600" o:gfxdata="UEsDBAoAAAAAAIdO4kAAAAAAAAAAAAAAAAAEAAAAZHJzL1BLAwQUAAAACACHTuJAgF/6CNwAAAAP&#10;AQAADwAAAGRycy9kb3ducmV2LnhtbE2PzU7DMBCE70i8g7VI3KidtqQkxKkQghMSIg0Hjk7sJlbj&#10;dYjdH96ezQluO7uj2W+K7cUN7GSmYD1KSBYCmMHWa4udhM/69e4BWIgKtRo8Ggk/JsC2vL4qVK79&#10;GStz2sWOUQiGXEnoYxxzzkPbG6fCwo8G6bb3k1OR5NRxPakzhbuBL4VIuVMW6UOvRvPcm/awOzoJ&#10;T19Yvdjv9+aj2le2rjOBb+lBytubRDwCi+YS/8ww4xM6lMTU+CPqwAbSYpll5KVpfZ9QrdmTrNIV&#10;sGbebTZr4GXB//cofwFQSwMEFAAAAAgAh07iQKjr9Lm4AQAAcQMAAA4AAABkcnMvZTJvRG9jLnht&#10;bK1TS27bMBDdF+gdCO5r2mmqBILlAIWRoEDRFkhyAJoiLQL8gUNb8gXaG3TVTfc9l8/RIWU5bbrJ&#10;ohvqaWb0Zt4bankzWEP2MoL2rqGL2ZwS6YRvtds29PHh9s01JZC4a7nxTjb0IIHerF6/Wvahlhe+&#10;86aVkSCJg7oPDe1SCjVjIDppOcx8kA6TykfLE77GLWsj75HdGnYxn1es97EN0QsJgNH1mKQnxvgS&#10;Qq+UFnLtxc5Kl0bWKA1PKAk6HYCuyrRKSZE+KwUyEdNQVJrKiU0Qb/LJVktebyMPnRanEfhLRnim&#10;yXLtsOmZas0TJ7uo/6GyWkQPXqWZ8JaNQoojqGIxf+bNfceDLFrQaghn0+H/0YpP+y+R6LahFSWO&#10;W1z48fu3449fx59fydtsTx+gxqr7gHVpeO8HvDRTHDCYVQ8q2vxEPQTzaO7hbK4cEhEYrK7eVZeY&#10;EZhaVFcZIzt7+jhESHfSW5JBQyPurljK9x8hjaVTSe7l/K02puzPuL8CyJkjLE8+TphRGjbDSc7G&#10;twdUYz44dDLfignECWwmsAtRbzscp2gulLiJMvfp1uRV//leGj/9Ka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gF/6CNwAAAAPAQAADwAAAAAAAAABACAAAAAiAAAAZHJzL2Rvd25yZXYueG1sUEsB&#10;AhQAFAAAAAgAh07iQKjr9Lm4AQAAcQMAAA4AAAAAAAAAAQAgAAAAKwEAAGRycy9lMm9Eb2MueG1s&#10;UEsFBgAAAAAGAAYAWQEAAFUFAAAAAA==&#10;">
              <v:fill on="f" focussize="0,0"/>
              <v:stroke on="f"/>
              <v:imagedata o:title=""/>
              <o:lock v:ext="edit" aspectratio="f"/>
              <v:textbox inset="0mm,0mm,0mm,0mm">
                <w:txbxContent>
                  <w:p>
                    <w:pPr>
                      <w:spacing w:before="13"/>
                      <w:ind w:left="20" w:right="0" w:firstLine="0"/>
                      <w:jc w:val="left"/>
                      <w:rPr>
                        <w:sz w:val="20"/>
                      </w:rPr>
                    </w:pPr>
                    <w:r>
                      <w:rPr>
                        <w:sz w:val="20"/>
                      </w:rPr>
                      <w:t xml:space="preserve">Page </w:t>
                    </w:r>
                    <w:r>
                      <w:fldChar w:fldCharType="begin"/>
                    </w:r>
                    <w:r>
                      <w:rPr>
                        <w:sz w:val="20"/>
                      </w:rPr>
                      <w:instrText xml:space="preserve"> PAGE </w:instrText>
                    </w:r>
                    <w:r>
                      <w:fldChar w:fldCharType="separate"/>
                    </w:r>
                    <w:r>
                      <w:t>1</w:t>
                    </w:r>
                    <w:r>
                      <w:fldChar w:fldCharType="end"/>
                    </w:r>
                    <w:r>
                      <w:rPr>
                        <w:sz w:val="20"/>
                      </w:rPr>
                      <w:t xml:space="preserve"> of 5</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dlNDJlMDIyZmViNDhlZTgwN2VlNzEwZjJiM2RhODkifQ=="/>
  </w:docVars>
  <w:rsids>
    <w:rsidRoot w:val="00000000"/>
    <w:rsid w:val="06BA27F6"/>
    <w:rsid w:val="4773060B"/>
    <w:rsid w:val="4EEA18DD"/>
    <w:rsid w:val="5AF454B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Arial" w:hAnsi="Arial" w:eastAsia="Arial" w:cs="Arial"/>
      <w:sz w:val="22"/>
      <w:szCs w:val="22"/>
      <w:lang w:val="en-US" w:eastAsia="en-US" w:bidi="en-US"/>
    </w:rPr>
  </w:style>
  <w:style w:type="paragraph" w:styleId="2">
    <w:name w:val="heading 1"/>
    <w:basedOn w:val="1"/>
    <w:next w:val="1"/>
    <w:qFormat/>
    <w:uiPriority w:val="1"/>
    <w:pPr>
      <w:ind w:left="5534"/>
      <w:outlineLvl w:val="1"/>
    </w:pPr>
    <w:rPr>
      <w:rFonts w:ascii="Arial" w:hAnsi="Arial" w:eastAsia="Arial" w:cs="Arial"/>
      <w:b/>
      <w:bCs/>
      <w:sz w:val="36"/>
      <w:szCs w:val="36"/>
      <w:lang w:val="en-US" w:eastAsia="en-US" w:bidi="en-US"/>
    </w:rPr>
  </w:style>
  <w:style w:type="paragraph" w:styleId="3">
    <w:name w:val="heading 2"/>
    <w:basedOn w:val="1"/>
    <w:next w:val="1"/>
    <w:qFormat/>
    <w:uiPriority w:val="1"/>
    <w:pPr>
      <w:ind w:left="121"/>
      <w:outlineLvl w:val="2"/>
    </w:pPr>
    <w:rPr>
      <w:rFonts w:ascii="Arial" w:hAnsi="Arial" w:eastAsia="Arial" w:cs="Arial"/>
      <w:b/>
      <w:bCs/>
      <w:sz w:val="28"/>
      <w:szCs w:val="28"/>
      <w:u w:val="single" w:color="000000"/>
      <w:lang w:val="en-US" w:eastAsia="en-US" w:bidi="en-US"/>
    </w:rPr>
  </w:style>
  <w:style w:type="paragraph" w:styleId="4">
    <w:name w:val="heading 3"/>
    <w:basedOn w:val="1"/>
    <w:next w:val="1"/>
    <w:qFormat/>
    <w:uiPriority w:val="1"/>
    <w:pPr>
      <w:spacing w:before="93"/>
      <w:ind w:left="121"/>
      <w:outlineLvl w:val="3"/>
    </w:pPr>
    <w:rPr>
      <w:rFonts w:ascii="Arial" w:hAnsi="Arial" w:eastAsia="Arial" w:cs="Arial"/>
      <w:b/>
      <w:bCs/>
      <w:sz w:val="22"/>
      <w:szCs w:val="22"/>
      <w:lang w:val="en-US" w:eastAsia="en-US" w:bidi="en-US"/>
    </w:rPr>
  </w:style>
  <w:style w:type="character" w:default="1" w:styleId="7">
    <w:name w:val="Default Paragraph Font"/>
    <w:semiHidden/>
    <w:unhideWhenUsed/>
    <w:qFormat/>
    <w:uiPriority w:val="1"/>
  </w:style>
  <w:style w:type="table" w:default="1" w:styleId="6">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1"/>
    <w:rPr>
      <w:rFonts w:ascii="Arial" w:hAnsi="Arial" w:eastAsia="Arial" w:cs="Arial"/>
      <w:sz w:val="22"/>
      <w:szCs w:val="22"/>
      <w:lang w:val="en-US" w:eastAsia="en-US" w:bidi="en-US"/>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pPr>
      <w:ind w:left="841" w:hanging="360"/>
    </w:pPr>
    <w:rPr>
      <w:rFonts w:ascii="Arial" w:hAnsi="Arial" w:eastAsia="Arial" w:cs="Arial"/>
      <w:lang w:val="en-US" w:eastAsia="en-US" w:bidi="en-US"/>
    </w:rPr>
  </w:style>
  <w:style w:type="paragraph" w:customStyle="1" w:styleId="10">
    <w:name w:val="Table Paragraph"/>
    <w:basedOn w:val="1"/>
    <w:qFormat/>
    <w:uiPriority w:val="1"/>
    <w:pPr>
      <w:jc w:val="center"/>
    </w:pPr>
    <w:rPr>
      <w:rFonts w:ascii="Calibri" w:hAnsi="Calibri" w:eastAsia="Calibri" w:cs="Calibri"/>
      <w:lang w:val="en-US" w:eastAsia="en-US" w:bidi="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2020-12-02T07:31:00Z</dcterms:created>
  <dc:creator>Katherine Aquino</dc:creator>
  <cp:lastModifiedBy>Bunny</cp:lastModifiedBy>
  <dcterms:modified xsi:type="dcterms:W3CDTF">2022-09-29T03:43:59Z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2020-11-09T00:00:00Z</vt:filetime>
  </property>
  <property fmtid="{D5CDD505-2E9C-101B-9397-08002B2CF9AE}" pid="3" name="Creator">
    <vt:lpwstr>Writer</vt:lpwstr>
  </property>
  <property fmtid="{D5CDD505-2E9C-101B-9397-08002B2CF9AE}" pid="4" name="LastSaved">
    <vt:filetime>2020-11-09T00:00:00Z</vt:filetime>
  </property>
  <property fmtid="{D5CDD505-2E9C-101B-9397-08002B2CF9AE}" pid="5" name="KSOProductBuildVer">
    <vt:lpwstr>2052-11.1.0.12358</vt:lpwstr>
  </property>
  <property fmtid="{D5CDD505-2E9C-101B-9397-08002B2CF9AE}" pid="6" name="ICV">
    <vt:lpwstr>03086C1729A64DB8A44E5A7610B32F26</vt:lpwstr>
  </property>
</Properties>
</file>